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8350" w14:textId="157236D1" w:rsidR="7BD82E00" w:rsidRDefault="7BD82E00" w:rsidP="00FF2E25">
      <w:pPr>
        <w:jc w:val="center"/>
        <w:rPr>
          <w:rFonts w:ascii="Work Sans" w:hAnsi="Work Sans"/>
          <w:b/>
          <w:bCs/>
        </w:rPr>
      </w:pPr>
      <w:r w:rsidRPr="0D319830">
        <w:rPr>
          <w:rFonts w:ascii="Work Sans" w:hAnsi="Work Sans"/>
          <w:b/>
          <w:bCs/>
        </w:rPr>
        <w:t>Sistema Interconectado Nacional en La Guajira</w:t>
      </w:r>
    </w:p>
    <w:p w14:paraId="72E2DDAB" w14:textId="08F41F8B" w:rsidR="005D32C6" w:rsidRPr="002274D9" w:rsidRDefault="005D32C6" w:rsidP="005D32C6">
      <w:pPr>
        <w:rPr>
          <w:rFonts w:ascii="Work Sans" w:hAnsi="Work Sans"/>
          <w:b/>
          <w:bCs/>
        </w:rPr>
      </w:pPr>
      <w:r w:rsidRPr="0D319830">
        <w:rPr>
          <w:rFonts w:ascii="Work Sans" w:hAnsi="Work Sans"/>
          <w:b/>
          <w:bCs/>
        </w:rPr>
        <w:t>1. O</w:t>
      </w:r>
      <w:r w:rsidR="79FBE459" w:rsidRPr="0D319830">
        <w:rPr>
          <w:rFonts w:ascii="Work Sans" w:hAnsi="Work Sans"/>
          <w:b/>
          <w:bCs/>
        </w:rPr>
        <w:t>perador de red</w:t>
      </w:r>
    </w:p>
    <w:p w14:paraId="0DAEA299" w14:textId="77777777" w:rsidR="00E455C4" w:rsidRPr="00E455C4" w:rsidRDefault="00E455C4" w:rsidP="00E455C4">
      <w:pPr>
        <w:jc w:val="both"/>
        <w:rPr>
          <w:rFonts w:ascii="Work Sans" w:hAnsi="Work Sans"/>
        </w:rPr>
      </w:pPr>
      <w:r w:rsidRPr="00E455C4">
        <w:rPr>
          <w:rFonts w:ascii="Work Sans" w:hAnsi="Work Sans"/>
        </w:rPr>
        <w:t>AIR-E es la empresa encargada de la distribución y comercialización de energía eléctrica en los departamentos de Atlántico, Magdalena y La Guajira, atendiendo a más de un millón de suscriptores.</w:t>
      </w:r>
    </w:p>
    <w:p w14:paraId="7FA08B2A" w14:textId="77777777" w:rsidR="00E455C4" w:rsidRPr="00E455C4" w:rsidRDefault="00E455C4" w:rsidP="00E455C4">
      <w:pPr>
        <w:jc w:val="both"/>
        <w:rPr>
          <w:rFonts w:ascii="Work Sans" w:hAnsi="Work Sans"/>
        </w:rPr>
      </w:pPr>
      <w:r w:rsidRPr="00E455C4">
        <w:rPr>
          <w:rFonts w:ascii="Work Sans" w:hAnsi="Work Sans"/>
        </w:rPr>
        <w:t>Constituida como una sociedad por acciones simplificadas de naturaleza privada, está identificada con el NIT 901.380.930-2. Fue creada mediante documento privado el 20 de abril de 2020 y registrada en la Cámara de Comercio de Barranquilla bajo el número 379.838 del libro IX, inicialmente con la razón social CARIBE SOL DE LA COSTA SAS E.S.P. Posteriormente, el 1 de octubre de 2020, adoptó su nombre actual, AIR-E SAS E.S.P., tras una reforma estatutaria.</w:t>
      </w:r>
    </w:p>
    <w:p w14:paraId="4D07C451" w14:textId="77777777" w:rsidR="00E455C4" w:rsidRPr="00E455C4" w:rsidRDefault="00E455C4" w:rsidP="00E455C4">
      <w:pPr>
        <w:jc w:val="both"/>
        <w:rPr>
          <w:rFonts w:ascii="Work Sans" w:hAnsi="Work Sans"/>
        </w:rPr>
      </w:pPr>
      <w:r w:rsidRPr="00E455C4">
        <w:rPr>
          <w:rFonts w:ascii="Work Sans" w:hAnsi="Work Sans"/>
        </w:rPr>
        <w:t>Actualmente, la empresa se encuentra intervenida por la Superintendencia de Servicios Públicos Domiciliarios desde el 11 de septiembre de 2024, conforme a la Resolución No. SSPD-20241000531665.</w:t>
      </w:r>
    </w:p>
    <w:p w14:paraId="6FADAC9A" w14:textId="48F8663B" w:rsidR="00DB6010" w:rsidRPr="00DB6010" w:rsidRDefault="0026365D" w:rsidP="00A25879">
      <w:pPr>
        <w:jc w:val="both"/>
        <w:rPr>
          <w:rFonts w:ascii="Work Sans" w:hAnsi="Work Sans"/>
        </w:rPr>
      </w:pPr>
      <w:r>
        <w:rPr>
          <w:rFonts w:ascii="Work Sans" w:hAnsi="Work Sans"/>
        </w:rPr>
        <w:t xml:space="preserve">De manera más detallada se informa que </w:t>
      </w:r>
      <w:r w:rsidR="00DB6010" w:rsidRPr="00DB6010">
        <w:rPr>
          <w:rFonts w:ascii="Work Sans" w:hAnsi="Work Sans"/>
        </w:rPr>
        <w:t>AIR-E cuenta con un total de</w:t>
      </w:r>
      <w:r w:rsidR="00DB6010" w:rsidRPr="00DB6010">
        <w:rPr>
          <w:rFonts w:ascii="Work Sans" w:hAnsi="Work Sans"/>
          <w:b/>
          <w:bCs/>
        </w:rPr>
        <w:t xml:space="preserve"> 1.1</w:t>
      </w:r>
      <w:r w:rsidR="00DB6010" w:rsidRPr="002274D9">
        <w:rPr>
          <w:rFonts w:ascii="Work Sans" w:hAnsi="Work Sans"/>
          <w:b/>
          <w:bCs/>
        </w:rPr>
        <w:t>09.675</w:t>
      </w:r>
      <w:r w:rsidR="00DB6010" w:rsidRPr="00DB6010">
        <w:rPr>
          <w:rFonts w:ascii="Work Sans" w:hAnsi="Work Sans"/>
          <w:b/>
          <w:bCs/>
        </w:rPr>
        <w:t xml:space="preserve"> usuarios</w:t>
      </w:r>
      <w:r w:rsidR="00DB6010" w:rsidRPr="00DB6010">
        <w:rPr>
          <w:rFonts w:ascii="Work Sans" w:hAnsi="Work Sans"/>
        </w:rPr>
        <w:t xml:space="preserve"> registrados en los 3 departamentos en donde opera, de acuerdo con el Sistema Único de Información de la </w:t>
      </w:r>
      <w:r w:rsidR="005C29E8">
        <w:rPr>
          <w:rFonts w:ascii="Work Sans" w:hAnsi="Work Sans"/>
        </w:rPr>
        <w:t>Superintendencia de Servicios Públicos Domiciliarios - SSPD</w:t>
      </w:r>
      <w:r w:rsidR="00DB6010" w:rsidRPr="00DB6010">
        <w:rPr>
          <w:rFonts w:ascii="Work Sans" w:hAnsi="Work Sans"/>
        </w:rPr>
        <w:t xml:space="preserve"> repartidos de la siguiente forma: </w:t>
      </w:r>
    </w:p>
    <w:p w14:paraId="74C38C79" w14:textId="5B5E6AA6" w:rsidR="00DB6010" w:rsidRDefault="00DB6010" w:rsidP="005674AF">
      <w:pPr>
        <w:jc w:val="center"/>
        <w:rPr>
          <w:rFonts w:ascii="Work Sans" w:hAnsi="Work Sans"/>
          <w:i/>
          <w:iCs/>
        </w:rPr>
      </w:pPr>
      <w:r w:rsidRPr="00DB6010">
        <w:rPr>
          <w:rFonts w:ascii="Work Sans" w:hAnsi="Work Sans"/>
          <w:i/>
          <w:iCs/>
        </w:rPr>
        <w:t xml:space="preserve">Tabla </w:t>
      </w:r>
      <w:r w:rsidR="005674AF">
        <w:rPr>
          <w:rFonts w:ascii="Work Sans" w:hAnsi="Work Sans"/>
          <w:i/>
          <w:iCs/>
        </w:rPr>
        <w:t>1</w:t>
      </w:r>
      <w:r w:rsidRPr="00DB6010">
        <w:rPr>
          <w:rFonts w:ascii="Work Sans" w:hAnsi="Work Sans"/>
          <w:i/>
          <w:iCs/>
        </w:rPr>
        <w:t>. Usuarios de AIR-E por Departamento</w:t>
      </w:r>
    </w:p>
    <w:tbl>
      <w:tblPr>
        <w:tblStyle w:val="TableGrid"/>
        <w:tblW w:w="0" w:type="auto"/>
        <w:tblLook w:val="04A0" w:firstRow="1" w:lastRow="0" w:firstColumn="1" w:lastColumn="0" w:noHBand="0" w:noVBand="1"/>
      </w:tblPr>
      <w:tblGrid>
        <w:gridCol w:w="4414"/>
        <w:gridCol w:w="4414"/>
      </w:tblGrid>
      <w:tr w:rsidR="00601919" w14:paraId="22F5F133" w14:textId="77777777" w:rsidTr="00601919">
        <w:tc>
          <w:tcPr>
            <w:tcW w:w="4414" w:type="dxa"/>
            <w:shd w:val="clear" w:color="auto" w:fill="FFC000"/>
          </w:tcPr>
          <w:p w14:paraId="234F6F75" w14:textId="387DB287" w:rsidR="00601919" w:rsidRPr="00601919" w:rsidRDefault="00601919" w:rsidP="005674AF">
            <w:pPr>
              <w:jc w:val="center"/>
              <w:rPr>
                <w:rFonts w:ascii="Work Sans" w:hAnsi="Work Sans"/>
                <w:b/>
                <w:bCs/>
                <w:color w:val="FFFFFF" w:themeColor="background1"/>
              </w:rPr>
            </w:pPr>
            <w:r w:rsidRPr="00601919">
              <w:rPr>
                <w:rFonts w:ascii="Work Sans" w:hAnsi="Work Sans"/>
                <w:b/>
                <w:bCs/>
                <w:color w:val="FFFFFF" w:themeColor="background1"/>
              </w:rPr>
              <w:t>Departamento</w:t>
            </w:r>
          </w:p>
        </w:tc>
        <w:tc>
          <w:tcPr>
            <w:tcW w:w="4414" w:type="dxa"/>
            <w:shd w:val="clear" w:color="auto" w:fill="FFC000"/>
          </w:tcPr>
          <w:p w14:paraId="39739A5F" w14:textId="6DAE810C" w:rsidR="00601919" w:rsidRPr="00601919" w:rsidRDefault="00601919" w:rsidP="005674AF">
            <w:pPr>
              <w:jc w:val="center"/>
              <w:rPr>
                <w:rFonts w:ascii="Work Sans" w:hAnsi="Work Sans"/>
                <w:b/>
                <w:bCs/>
                <w:color w:val="FFFFFF" w:themeColor="background1"/>
              </w:rPr>
            </w:pPr>
            <w:r w:rsidRPr="00601919">
              <w:rPr>
                <w:rFonts w:ascii="Work Sans" w:hAnsi="Work Sans"/>
                <w:b/>
                <w:bCs/>
                <w:color w:val="FFFFFF" w:themeColor="background1"/>
              </w:rPr>
              <w:t>Usuarios</w:t>
            </w:r>
          </w:p>
        </w:tc>
      </w:tr>
      <w:tr w:rsidR="00601919" w14:paraId="5A92E6B4" w14:textId="77777777" w:rsidTr="00E40470">
        <w:tc>
          <w:tcPr>
            <w:tcW w:w="4414" w:type="dxa"/>
          </w:tcPr>
          <w:p w14:paraId="5032FE54" w14:textId="4AFE18FB" w:rsidR="00601919" w:rsidRDefault="00601919" w:rsidP="00601919">
            <w:pPr>
              <w:jc w:val="center"/>
              <w:rPr>
                <w:rFonts w:ascii="Work Sans" w:hAnsi="Work Sans"/>
              </w:rPr>
            </w:pPr>
            <w:r>
              <w:rPr>
                <w:rFonts w:ascii="Work Sans" w:hAnsi="Work Sans"/>
              </w:rPr>
              <w:t>Atlántico</w:t>
            </w:r>
          </w:p>
        </w:tc>
        <w:tc>
          <w:tcPr>
            <w:tcW w:w="4414" w:type="dxa"/>
            <w:vAlign w:val="center"/>
          </w:tcPr>
          <w:p w14:paraId="4F53BD53" w14:textId="7537EDBF" w:rsidR="00601919" w:rsidRDefault="00601919" w:rsidP="00601919">
            <w:pPr>
              <w:jc w:val="center"/>
              <w:rPr>
                <w:rFonts w:ascii="Work Sans" w:hAnsi="Work Sans"/>
              </w:rPr>
            </w:pPr>
            <w:r w:rsidRPr="00DB6010">
              <w:rPr>
                <w:rFonts w:ascii="Work Sans" w:hAnsi="Work Sans"/>
                <w:sz w:val="20"/>
                <w:szCs w:val="20"/>
              </w:rPr>
              <w:t>74</w:t>
            </w:r>
            <w:r w:rsidRPr="0011630C">
              <w:rPr>
                <w:rFonts w:ascii="Work Sans" w:hAnsi="Work Sans"/>
                <w:sz w:val="20"/>
                <w:szCs w:val="20"/>
              </w:rPr>
              <w:t>2.583</w:t>
            </w:r>
          </w:p>
        </w:tc>
      </w:tr>
      <w:tr w:rsidR="00601919" w14:paraId="7B59094E" w14:textId="77777777" w:rsidTr="00E40470">
        <w:tc>
          <w:tcPr>
            <w:tcW w:w="4414" w:type="dxa"/>
          </w:tcPr>
          <w:p w14:paraId="50A96127" w14:textId="139C5034" w:rsidR="00601919" w:rsidRDefault="00601919" w:rsidP="00601919">
            <w:pPr>
              <w:jc w:val="center"/>
              <w:rPr>
                <w:rFonts w:ascii="Work Sans" w:hAnsi="Work Sans"/>
              </w:rPr>
            </w:pPr>
            <w:r>
              <w:rPr>
                <w:rFonts w:ascii="Work Sans" w:hAnsi="Work Sans"/>
              </w:rPr>
              <w:t>La Guajira</w:t>
            </w:r>
          </w:p>
        </w:tc>
        <w:tc>
          <w:tcPr>
            <w:tcW w:w="4414" w:type="dxa"/>
            <w:vAlign w:val="center"/>
          </w:tcPr>
          <w:p w14:paraId="0D01063D" w14:textId="7DA8A40E" w:rsidR="00601919" w:rsidRDefault="00601919" w:rsidP="00601919">
            <w:pPr>
              <w:jc w:val="center"/>
              <w:rPr>
                <w:rFonts w:ascii="Work Sans" w:hAnsi="Work Sans"/>
              </w:rPr>
            </w:pPr>
            <w:r w:rsidRPr="00DB6010">
              <w:rPr>
                <w:rFonts w:ascii="Work Sans" w:hAnsi="Work Sans"/>
                <w:sz w:val="20"/>
                <w:szCs w:val="20"/>
              </w:rPr>
              <w:t>164.</w:t>
            </w:r>
            <w:r w:rsidRPr="0011630C">
              <w:rPr>
                <w:rFonts w:ascii="Work Sans" w:hAnsi="Work Sans"/>
                <w:sz w:val="20"/>
                <w:szCs w:val="20"/>
              </w:rPr>
              <w:t>968</w:t>
            </w:r>
          </w:p>
        </w:tc>
      </w:tr>
      <w:tr w:rsidR="00601919" w14:paraId="3648E997" w14:textId="77777777" w:rsidTr="00E40470">
        <w:tc>
          <w:tcPr>
            <w:tcW w:w="4414" w:type="dxa"/>
          </w:tcPr>
          <w:p w14:paraId="21C6E98D" w14:textId="093E2524" w:rsidR="00601919" w:rsidRDefault="00601919" w:rsidP="00601919">
            <w:pPr>
              <w:jc w:val="center"/>
              <w:rPr>
                <w:rFonts w:ascii="Work Sans" w:hAnsi="Work Sans"/>
              </w:rPr>
            </w:pPr>
            <w:r>
              <w:rPr>
                <w:rFonts w:ascii="Work Sans" w:hAnsi="Work Sans"/>
              </w:rPr>
              <w:t>Magdalena</w:t>
            </w:r>
          </w:p>
        </w:tc>
        <w:tc>
          <w:tcPr>
            <w:tcW w:w="4414" w:type="dxa"/>
            <w:vAlign w:val="center"/>
          </w:tcPr>
          <w:p w14:paraId="66FA9592" w14:textId="49AAAE0A" w:rsidR="00601919" w:rsidRDefault="00601919" w:rsidP="00601919">
            <w:pPr>
              <w:jc w:val="center"/>
              <w:rPr>
                <w:rFonts w:ascii="Work Sans" w:hAnsi="Work Sans"/>
              </w:rPr>
            </w:pPr>
            <w:r w:rsidRPr="00DB6010">
              <w:rPr>
                <w:rFonts w:ascii="Work Sans" w:hAnsi="Work Sans"/>
                <w:sz w:val="20"/>
                <w:szCs w:val="20"/>
              </w:rPr>
              <w:t>2</w:t>
            </w:r>
            <w:r w:rsidRPr="0011630C">
              <w:rPr>
                <w:rFonts w:ascii="Work Sans" w:hAnsi="Work Sans"/>
                <w:sz w:val="20"/>
                <w:szCs w:val="20"/>
              </w:rPr>
              <w:t>02.124</w:t>
            </w:r>
          </w:p>
        </w:tc>
      </w:tr>
      <w:tr w:rsidR="00601919" w14:paraId="7361A419" w14:textId="77777777" w:rsidTr="00601919">
        <w:tc>
          <w:tcPr>
            <w:tcW w:w="4414" w:type="dxa"/>
            <w:shd w:val="clear" w:color="auto" w:fill="FFC000"/>
          </w:tcPr>
          <w:p w14:paraId="263620BF" w14:textId="7316523B" w:rsidR="00601919" w:rsidRPr="00601919" w:rsidRDefault="00601919" w:rsidP="00601919">
            <w:pPr>
              <w:jc w:val="center"/>
              <w:rPr>
                <w:rFonts w:ascii="Work Sans" w:hAnsi="Work Sans"/>
                <w:b/>
                <w:bCs/>
                <w:color w:val="FFFFFF" w:themeColor="background1"/>
              </w:rPr>
            </w:pPr>
            <w:r w:rsidRPr="00601919">
              <w:rPr>
                <w:rFonts w:ascii="Work Sans" w:hAnsi="Work Sans"/>
                <w:b/>
                <w:bCs/>
                <w:color w:val="FFFFFF" w:themeColor="background1"/>
              </w:rPr>
              <w:t>Total</w:t>
            </w:r>
          </w:p>
        </w:tc>
        <w:tc>
          <w:tcPr>
            <w:tcW w:w="4414" w:type="dxa"/>
            <w:shd w:val="clear" w:color="auto" w:fill="FFC000"/>
            <w:vAlign w:val="center"/>
          </w:tcPr>
          <w:p w14:paraId="0592FF87" w14:textId="33E38056" w:rsidR="00601919" w:rsidRPr="00601919" w:rsidRDefault="00601919" w:rsidP="00601919">
            <w:pPr>
              <w:jc w:val="center"/>
              <w:rPr>
                <w:rFonts w:ascii="Work Sans" w:hAnsi="Work Sans"/>
                <w:b/>
                <w:bCs/>
                <w:color w:val="FFFFFF" w:themeColor="background1"/>
              </w:rPr>
            </w:pPr>
            <w:r w:rsidRPr="00DB6010">
              <w:rPr>
                <w:rFonts w:ascii="Work Sans" w:hAnsi="Work Sans"/>
                <w:b/>
                <w:bCs/>
                <w:color w:val="FFFFFF" w:themeColor="background1"/>
                <w:sz w:val="20"/>
                <w:szCs w:val="20"/>
              </w:rPr>
              <w:t>1.1</w:t>
            </w:r>
            <w:r w:rsidRPr="00601919">
              <w:rPr>
                <w:rFonts w:ascii="Work Sans" w:hAnsi="Work Sans"/>
                <w:b/>
                <w:bCs/>
                <w:color w:val="FFFFFF" w:themeColor="background1"/>
                <w:sz w:val="20"/>
                <w:szCs w:val="20"/>
              </w:rPr>
              <w:t>09.675</w:t>
            </w:r>
          </w:p>
        </w:tc>
      </w:tr>
    </w:tbl>
    <w:p w14:paraId="2B3EA223" w14:textId="3368ED25" w:rsidR="00DB6010" w:rsidRPr="00DB6010" w:rsidRDefault="00DB6010" w:rsidP="00DC0F56">
      <w:pPr>
        <w:jc w:val="center"/>
        <w:rPr>
          <w:rFonts w:ascii="Work Sans" w:hAnsi="Work Sans"/>
        </w:rPr>
      </w:pPr>
      <w:r w:rsidRPr="00DB6010">
        <w:rPr>
          <w:rFonts w:ascii="Work Sans" w:hAnsi="Work Sans"/>
          <w:i/>
          <w:iCs/>
        </w:rPr>
        <w:t>Fuente: SUI-SSPD</w:t>
      </w:r>
    </w:p>
    <w:p w14:paraId="3B9E9C49" w14:textId="011AE9A7" w:rsidR="00803A37" w:rsidRDefault="005674AF" w:rsidP="00DC0F56">
      <w:pPr>
        <w:jc w:val="both"/>
        <w:rPr>
          <w:rFonts w:ascii="Work Sans" w:hAnsi="Work Sans"/>
        </w:rPr>
      </w:pPr>
      <w:r>
        <w:rPr>
          <w:rFonts w:ascii="Work Sans" w:hAnsi="Work Sans"/>
        </w:rPr>
        <w:t xml:space="preserve">Según el </w:t>
      </w:r>
      <w:r w:rsidR="00A25B2E" w:rsidRPr="00A25B2E">
        <w:rPr>
          <w:rFonts w:ascii="Work Sans" w:hAnsi="Work Sans"/>
          <w:i/>
          <w:iCs/>
        </w:rPr>
        <w:t>Boletín Técnico Cálculo índice de cobertura de energía eléctrica ICEE 2023</w:t>
      </w:r>
      <w:r w:rsidR="00A25B2E" w:rsidRPr="00A25B2E">
        <w:rPr>
          <w:rFonts w:ascii="Work Sans" w:hAnsi="Work Sans"/>
        </w:rPr>
        <w:t>​​</w:t>
      </w:r>
      <w:r w:rsidR="00A25B2E">
        <w:rPr>
          <w:rFonts w:ascii="Work Sans" w:hAnsi="Work Sans"/>
        </w:rPr>
        <w:t xml:space="preserve"> publicado por la UPME, en el año 2023 </w:t>
      </w:r>
      <w:r w:rsidR="00803A37" w:rsidRPr="002274D9">
        <w:rPr>
          <w:rFonts w:ascii="Work Sans" w:hAnsi="Work Sans"/>
        </w:rPr>
        <w:t>el índice de cobertura de energía</w:t>
      </w:r>
      <w:r w:rsidR="00DC0F56">
        <w:rPr>
          <w:rFonts w:ascii="Work Sans" w:hAnsi="Work Sans"/>
        </w:rPr>
        <w:t xml:space="preserve"> </w:t>
      </w:r>
      <w:r w:rsidR="00803A37" w:rsidRPr="002274D9">
        <w:rPr>
          <w:rFonts w:ascii="Work Sans" w:hAnsi="Work Sans"/>
        </w:rPr>
        <w:t>eléctrica del departamento se encuentra registrado de la siguiente manera: </w:t>
      </w:r>
    </w:p>
    <w:p w14:paraId="322086B5" w14:textId="449ADC3D" w:rsidR="00B93597" w:rsidRPr="002274D9" w:rsidRDefault="00B93597" w:rsidP="00B93597">
      <w:pPr>
        <w:jc w:val="center"/>
        <w:rPr>
          <w:rFonts w:ascii="Work Sans" w:hAnsi="Work Sans"/>
        </w:rPr>
      </w:pPr>
      <w:r w:rsidRPr="00DB6010">
        <w:rPr>
          <w:rFonts w:ascii="Work Sans" w:hAnsi="Work Sans"/>
          <w:i/>
          <w:iCs/>
        </w:rPr>
        <w:t xml:space="preserve">Tabla </w:t>
      </w:r>
      <w:r>
        <w:rPr>
          <w:rFonts w:ascii="Work Sans" w:hAnsi="Work Sans"/>
          <w:i/>
          <w:iCs/>
        </w:rPr>
        <w:t>2</w:t>
      </w:r>
      <w:r w:rsidRPr="00DB6010">
        <w:rPr>
          <w:rFonts w:ascii="Work Sans" w:hAnsi="Work Sans"/>
          <w:i/>
          <w:iCs/>
        </w:rPr>
        <w:t xml:space="preserve">. </w:t>
      </w:r>
      <w:r>
        <w:rPr>
          <w:rFonts w:ascii="Work Sans" w:hAnsi="Work Sans"/>
          <w:i/>
          <w:iCs/>
        </w:rPr>
        <w:t>ICEE</w:t>
      </w:r>
      <w:r w:rsidRPr="00DB6010">
        <w:rPr>
          <w:rFonts w:ascii="Work Sans" w:hAnsi="Work Sans"/>
          <w:i/>
          <w:iCs/>
        </w:rPr>
        <w:t xml:space="preserve"> por Departamento</w:t>
      </w:r>
    </w:p>
    <w:tbl>
      <w:tblPr>
        <w:tblStyle w:val="TableGrid"/>
        <w:tblW w:w="5000" w:type="pct"/>
        <w:tblLook w:val="04A0" w:firstRow="1" w:lastRow="0" w:firstColumn="1" w:lastColumn="0" w:noHBand="0" w:noVBand="1"/>
      </w:tblPr>
      <w:tblGrid>
        <w:gridCol w:w="1610"/>
        <w:gridCol w:w="1721"/>
        <w:gridCol w:w="2343"/>
        <w:gridCol w:w="1932"/>
        <w:gridCol w:w="1222"/>
      </w:tblGrid>
      <w:tr w:rsidR="00753576" w:rsidRPr="00A25B2E" w14:paraId="5D0C2AF5" w14:textId="77777777" w:rsidTr="00753576">
        <w:trPr>
          <w:trHeight w:val="288"/>
        </w:trPr>
        <w:tc>
          <w:tcPr>
            <w:tcW w:w="912" w:type="pct"/>
            <w:shd w:val="clear" w:color="auto" w:fill="FFC000"/>
            <w:noWrap/>
            <w:vAlign w:val="center"/>
            <w:hideMark/>
          </w:tcPr>
          <w:p w14:paraId="3012B2F0"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Departamento</w:t>
            </w:r>
          </w:p>
        </w:tc>
        <w:tc>
          <w:tcPr>
            <w:tcW w:w="975" w:type="pct"/>
            <w:shd w:val="clear" w:color="auto" w:fill="FFC000"/>
            <w:noWrap/>
            <w:vAlign w:val="center"/>
            <w:hideMark/>
          </w:tcPr>
          <w:p w14:paraId="1443563F" w14:textId="77777777" w:rsidR="00A25B2E" w:rsidRDefault="00803A37" w:rsidP="00A25B2E">
            <w:pPr>
              <w:ind w:left="67"/>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00A25B2E" w:rsidRPr="00A25B2E">
              <w:rPr>
                <w:rFonts w:ascii="Work Sans" w:eastAsia="Times New Roman" w:hAnsi="Work Sans" w:cs="Times New Roman"/>
                <w:b/>
                <w:bCs/>
                <w:color w:val="FFFFFF" w:themeColor="background1"/>
                <w:kern w:val="0"/>
                <w:sz w:val="20"/>
                <w:szCs w:val="20"/>
                <w:lang w:eastAsia="es-CO"/>
                <w14:ligatures w14:val="none"/>
              </w:rPr>
              <w:t>iviendas</w:t>
            </w:r>
          </w:p>
          <w:p w14:paraId="58677D93" w14:textId="45B38D5F" w:rsidR="00803A37" w:rsidRPr="00803A37" w:rsidRDefault="00803A37" w:rsidP="00A25B2E">
            <w:pPr>
              <w:ind w:left="67"/>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C</w:t>
            </w:r>
            <w:r w:rsidR="00A25B2E" w:rsidRPr="00A25B2E">
              <w:rPr>
                <w:rFonts w:ascii="Work Sans" w:eastAsia="Times New Roman" w:hAnsi="Work Sans" w:cs="Times New Roman"/>
                <w:b/>
                <w:bCs/>
                <w:color w:val="FFFFFF" w:themeColor="background1"/>
                <w:kern w:val="0"/>
                <w:sz w:val="20"/>
                <w:szCs w:val="20"/>
                <w:lang w:eastAsia="es-CO"/>
                <w14:ligatures w14:val="none"/>
              </w:rPr>
              <w:t xml:space="preserve">on </w:t>
            </w: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ervicio</w:t>
            </w:r>
          </w:p>
        </w:tc>
        <w:tc>
          <w:tcPr>
            <w:tcW w:w="1327" w:type="pct"/>
            <w:shd w:val="clear" w:color="auto" w:fill="FFC000"/>
            <w:noWrap/>
            <w:vAlign w:val="center"/>
            <w:hideMark/>
          </w:tcPr>
          <w:p w14:paraId="2016EB17" w14:textId="77777777" w:rsidR="00A25B2E"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00A25B2E" w:rsidRPr="00A25B2E">
              <w:rPr>
                <w:rFonts w:ascii="Work Sans" w:eastAsia="Times New Roman" w:hAnsi="Work Sans" w:cs="Times New Roman"/>
                <w:b/>
                <w:bCs/>
                <w:color w:val="FFFFFF" w:themeColor="background1"/>
                <w:kern w:val="0"/>
                <w:sz w:val="20"/>
                <w:szCs w:val="20"/>
                <w:lang w:eastAsia="es-CO"/>
                <w14:ligatures w14:val="none"/>
              </w:rPr>
              <w:t>iviendas</w:t>
            </w:r>
          </w:p>
          <w:p w14:paraId="154948D2" w14:textId="07B75A7C"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 xml:space="preserve">in </w:t>
            </w: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ervicio</w:t>
            </w:r>
          </w:p>
        </w:tc>
        <w:tc>
          <w:tcPr>
            <w:tcW w:w="1094" w:type="pct"/>
            <w:shd w:val="clear" w:color="auto" w:fill="FFC000"/>
            <w:noWrap/>
            <w:vAlign w:val="center"/>
            <w:hideMark/>
          </w:tcPr>
          <w:p w14:paraId="07624674" w14:textId="77777777" w:rsidR="00A25B2E" w:rsidRDefault="00A25B2E"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Pr="00A25B2E">
              <w:rPr>
                <w:rFonts w:ascii="Work Sans" w:eastAsia="Times New Roman" w:hAnsi="Work Sans" w:cs="Times New Roman"/>
                <w:b/>
                <w:bCs/>
                <w:color w:val="FFFFFF" w:themeColor="background1"/>
                <w:kern w:val="0"/>
                <w:sz w:val="20"/>
                <w:szCs w:val="20"/>
                <w:lang w:eastAsia="es-CO"/>
                <w14:ligatures w14:val="none"/>
              </w:rPr>
              <w:t>iviendas</w:t>
            </w:r>
          </w:p>
          <w:p w14:paraId="377B60A7" w14:textId="4A24F89C"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T</w:t>
            </w:r>
            <w:r w:rsidR="00A25B2E" w:rsidRPr="00A25B2E">
              <w:rPr>
                <w:rFonts w:ascii="Work Sans" w:eastAsia="Times New Roman" w:hAnsi="Work Sans" w:cs="Times New Roman"/>
                <w:b/>
                <w:bCs/>
                <w:color w:val="FFFFFF" w:themeColor="background1"/>
                <w:kern w:val="0"/>
                <w:sz w:val="20"/>
                <w:szCs w:val="20"/>
                <w:lang w:eastAsia="es-CO"/>
                <w14:ligatures w14:val="none"/>
              </w:rPr>
              <w:t>otales</w:t>
            </w:r>
          </w:p>
        </w:tc>
        <w:tc>
          <w:tcPr>
            <w:tcW w:w="692" w:type="pct"/>
            <w:shd w:val="clear" w:color="auto" w:fill="FFC000"/>
            <w:noWrap/>
            <w:vAlign w:val="center"/>
            <w:hideMark/>
          </w:tcPr>
          <w:p w14:paraId="1337C1A2"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ICEE Total</w:t>
            </w:r>
          </w:p>
        </w:tc>
      </w:tr>
      <w:tr w:rsidR="00A25B2E" w:rsidRPr="00A25B2E" w14:paraId="1AD637EB" w14:textId="77777777" w:rsidTr="00753576">
        <w:trPr>
          <w:trHeight w:val="288"/>
        </w:trPr>
        <w:tc>
          <w:tcPr>
            <w:tcW w:w="912" w:type="pct"/>
            <w:noWrap/>
            <w:vAlign w:val="center"/>
            <w:hideMark/>
          </w:tcPr>
          <w:p w14:paraId="36D8E14E" w14:textId="5B8C2693"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Magdalena</w:t>
            </w:r>
          </w:p>
        </w:tc>
        <w:tc>
          <w:tcPr>
            <w:tcW w:w="975" w:type="pct"/>
            <w:noWrap/>
            <w:vAlign w:val="center"/>
            <w:hideMark/>
          </w:tcPr>
          <w:p w14:paraId="3948412E" w14:textId="5CBF033F"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325</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056</w:t>
            </w:r>
          </w:p>
        </w:tc>
        <w:tc>
          <w:tcPr>
            <w:tcW w:w="1327" w:type="pct"/>
            <w:noWrap/>
            <w:vAlign w:val="center"/>
            <w:hideMark/>
          </w:tcPr>
          <w:p w14:paraId="23F9655E" w14:textId="0FB6BDEE"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143</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826</w:t>
            </w:r>
          </w:p>
        </w:tc>
        <w:tc>
          <w:tcPr>
            <w:tcW w:w="1094" w:type="pct"/>
            <w:noWrap/>
            <w:vAlign w:val="center"/>
            <w:hideMark/>
          </w:tcPr>
          <w:p w14:paraId="31B290F4" w14:textId="70A113F9"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468</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882</w:t>
            </w:r>
          </w:p>
        </w:tc>
        <w:tc>
          <w:tcPr>
            <w:tcW w:w="692" w:type="pct"/>
            <w:noWrap/>
            <w:vAlign w:val="center"/>
            <w:hideMark/>
          </w:tcPr>
          <w:p w14:paraId="2A6FB742"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69%</w:t>
            </w:r>
          </w:p>
        </w:tc>
      </w:tr>
      <w:tr w:rsidR="00A25B2E" w:rsidRPr="00A25B2E" w14:paraId="248462CE" w14:textId="77777777" w:rsidTr="00753576">
        <w:trPr>
          <w:trHeight w:val="288"/>
        </w:trPr>
        <w:tc>
          <w:tcPr>
            <w:tcW w:w="912" w:type="pct"/>
            <w:noWrap/>
            <w:vAlign w:val="center"/>
            <w:hideMark/>
          </w:tcPr>
          <w:p w14:paraId="272BFD27" w14:textId="58E63C2F"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La Guajira</w:t>
            </w:r>
          </w:p>
        </w:tc>
        <w:tc>
          <w:tcPr>
            <w:tcW w:w="975" w:type="pct"/>
            <w:noWrap/>
            <w:vAlign w:val="center"/>
            <w:hideMark/>
          </w:tcPr>
          <w:p w14:paraId="5D9B7F48" w14:textId="26EC7788"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166</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652</w:t>
            </w:r>
          </w:p>
        </w:tc>
        <w:tc>
          <w:tcPr>
            <w:tcW w:w="1327" w:type="pct"/>
            <w:noWrap/>
            <w:vAlign w:val="center"/>
            <w:hideMark/>
          </w:tcPr>
          <w:p w14:paraId="316EDD40" w14:textId="49319F3D"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138</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716</w:t>
            </w:r>
          </w:p>
        </w:tc>
        <w:tc>
          <w:tcPr>
            <w:tcW w:w="1094" w:type="pct"/>
            <w:noWrap/>
            <w:vAlign w:val="center"/>
            <w:hideMark/>
          </w:tcPr>
          <w:p w14:paraId="052AAFE7" w14:textId="6E88205B"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305</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368</w:t>
            </w:r>
          </w:p>
        </w:tc>
        <w:tc>
          <w:tcPr>
            <w:tcW w:w="692" w:type="pct"/>
            <w:noWrap/>
            <w:vAlign w:val="center"/>
            <w:hideMark/>
          </w:tcPr>
          <w:p w14:paraId="51AAE79D"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55%</w:t>
            </w:r>
          </w:p>
        </w:tc>
      </w:tr>
      <w:tr w:rsidR="00A25B2E" w:rsidRPr="00A25B2E" w14:paraId="211EF42C" w14:textId="77777777" w:rsidTr="00753576">
        <w:trPr>
          <w:trHeight w:val="288"/>
        </w:trPr>
        <w:tc>
          <w:tcPr>
            <w:tcW w:w="912" w:type="pct"/>
            <w:noWrap/>
            <w:vAlign w:val="center"/>
            <w:hideMark/>
          </w:tcPr>
          <w:p w14:paraId="05CF3A7A" w14:textId="7175259D"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Atlántico</w:t>
            </w:r>
          </w:p>
        </w:tc>
        <w:tc>
          <w:tcPr>
            <w:tcW w:w="975" w:type="pct"/>
            <w:noWrap/>
            <w:vAlign w:val="center"/>
            <w:hideMark/>
          </w:tcPr>
          <w:p w14:paraId="7A03124A" w14:textId="58B2689B"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744</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401</w:t>
            </w:r>
          </w:p>
        </w:tc>
        <w:tc>
          <w:tcPr>
            <w:tcW w:w="1327" w:type="pct"/>
            <w:noWrap/>
            <w:vAlign w:val="center"/>
            <w:hideMark/>
          </w:tcPr>
          <w:p w14:paraId="62E19505" w14:textId="4F63F818"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50</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215</w:t>
            </w:r>
          </w:p>
        </w:tc>
        <w:tc>
          <w:tcPr>
            <w:tcW w:w="1094" w:type="pct"/>
            <w:noWrap/>
            <w:vAlign w:val="center"/>
            <w:hideMark/>
          </w:tcPr>
          <w:p w14:paraId="031ECFA4" w14:textId="774E2849"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794</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616</w:t>
            </w:r>
          </w:p>
        </w:tc>
        <w:tc>
          <w:tcPr>
            <w:tcW w:w="692" w:type="pct"/>
            <w:noWrap/>
            <w:vAlign w:val="center"/>
            <w:hideMark/>
          </w:tcPr>
          <w:p w14:paraId="50106C7E"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94%</w:t>
            </w:r>
          </w:p>
        </w:tc>
      </w:tr>
      <w:tr w:rsidR="00753576" w:rsidRPr="00A25B2E" w14:paraId="06817BC1" w14:textId="77777777" w:rsidTr="00753576">
        <w:trPr>
          <w:trHeight w:val="288"/>
        </w:trPr>
        <w:tc>
          <w:tcPr>
            <w:tcW w:w="912" w:type="pct"/>
            <w:shd w:val="clear" w:color="auto" w:fill="FFC000"/>
            <w:noWrap/>
            <w:vAlign w:val="center"/>
            <w:hideMark/>
          </w:tcPr>
          <w:p w14:paraId="3B89F0A9"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Total</w:t>
            </w:r>
          </w:p>
        </w:tc>
        <w:tc>
          <w:tcPr>
            <w:tcW w:w="975" w:type="pct"/>
            <w:shd w:val="clear" w:color="auto" w:fill="FFC000"/>
            <w:noWrap/>
            <w:vAlign w:val="center"/>
            <w:hideMark/>
          </w:tcPr>
          <w:p w14:paraId="35E25179" w14:textId="3EDE7F49"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1</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236</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109</w:t>
            </w:r>
          </w:p>
        </w:tc>
        <w:tc>
          <w:tcPr>
            <w:tcW w:w="1327" w:type="pct"/>
            <w:shd w:val="clear" w:color="auto" w:fill="FFC000"/>
            <w:noWrap/>
            <w:vAlign w:val="center"/>
            <w:hideMark/>
          </w:tcPr>
          <w:p w14:paraId="465C4CC6" w14:textId="2E7264AD"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332</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757</w:t>
            </w:r>
          </w:p>
        </w:tc>
        <w:tc>
          <w:tcPr>
            <w:tcW w:w="1094" w:type="pct"/>
            <w:shd w:val="clear" w:color="auto" w:fill="FFC000"/>
            <w:noWrap/>
            <w:vAlign w:val="center"/>
            <w:hideMark/>
          </w:tcPr>
          <w:p w14:paraId="5DFA1C26" w14:textId="34EACACA"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1</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568</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866</w:t>
            </w:r>
          </w:p>
        </w:tc>
        <w:tc>
          <w:tcPr>
            <w:tcW w:w="692" w:type="pct"/>
            <w:shd w:val="clear" w:color="auto" w:fill="FFC000"/>
            <w:noWrap/>
            <w:vAlign w:val="center"/>
            <w:hideMark/>
          </w:tcPr>
          <w:p w14:paraId="5F16BDF0"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79%</w:t>
            </w:r>
          </w:p>
        </w:tc>
      </w:tr>
    </w:tbl>
    <w:p w14:paraId="2DFDCD5C" w14:textId="430FEF3B" w:rsidR="00803A37" w:rsidRPr="002274D9" w:rsidRDefault="00803A37" w:rsidP="00F30A72">
      <w:pPr>
        <w:jc w:val="center"/>
        <w:rPr>
          <w:rFonts w:ascii="Work Sans" w:hAnsi="Work Sans"/>
        </w:rPr>
      </w:pPr>
      <w:r w:rsidRPr="002274D9">
        <w:rPr>
          <w:rFonts w:ascii="Work Sans" w:hAnsi="Work Sans"/>
        </w:rPr>
        <w:t xml:space="preserve"> </w:t>
      </w:r>
      <w:r w:rsidR="00F30A72" w:rsidRPr="00DB6010">
        <w:rPr>
          <w:rFonts w:ascii="Work Sans" w:hAnsi="Work Sans"/>
          <w:i/>
          <w:iCs/>
        </w:rPr>
        <w:t xml:space="preserve">Fuente: </w:t>
      </w:r>
      <w:r w:rsidR="00F30A72">
        <w:rPr>
          <w:rFonts w:ascii="Work Sans" w:hAnsi="Work Sans"/>
          <w:i/>
          <w:iCs/>
        </w:rPr>
        <w:t>ICEE - UPME</w:t>
      </w:r>
    </w:p>
    <w:p w14:paraId="77DEA8E2" w14:textId="5BB4C355" w:rsidR="00803A37" w:rsidRPr="002274D9" w:rsidRDefault="00803A37" w:rsidP="00B93597">
      <w:pPr>
        <w:jc w:val="both"/>
        <w:rPr>
          <w:rFonts w:ascii="Work Sans" w:hAnsi="Work Sans"/>
        </w:rPr>
      </w:pPr>
      <w:r w:rsidRPr="002274D9">
        <w:rPr>
          <w:rFonts w:ascii="Work Sans" w:hAnsi="Work Sans"/>
        </w:rPr>
        <w:t xml:space="preserve">De los datos establecidos en la Tabla 2, se evidencian </w:t>
      </w:r>
      <w:r w:rsidRPr="00803A37">
        <w:rPr>
          <w:rFonts w:ascii="Work Sans" w:eastAsia="Times New Roman" w:hAnsi="Work Sans" w:cs="Times New Roman"/>
          <w:b/>
          <w:bCs/>
          <w:color w:val="000000"/>
          <w:kern w:val="0"/>
          <w:lang w:eastAsia="es-CO"/>
          <w14:ligatures w14:val="none"/>
        </w:rPr>
        <w:t>332</w:t>
      </w:r>
      <w:r w:rsidRPr="00B93597">
        <w:rPr>
          <w:rFonts w:ascii="Work Sans" w:eastAsia="Times New Roman" w:hAnsi="Work Sans" w:cs="Times New Roman"/>
          <w:b/>
          <w:bCs/>
          <w:color w:val="000000"/>
          <w:kern w:val="0"/>
          <w:lang w:eastAsia="es-CO"/>
          <w14:ligatures w14:val="none"/>
        </w:rPr>
        <w:t>.</w:t>
      </w:r>
      <w:r w:rsidRPr="00803A37">
        <w:rPr>
          <w:rFonts w:ascii="Work Sans" w:eastAsia="Times New Roman" w:hAnsi="Work Sans" w:cs="Times New Roman"/>
          <w:b/>
          <w:bCs/>
          <w:color w:val="000000"/>
          <w:kern w:val="0"/>
          <w:lang w:eastAsia="es-CO"/>
          <w14:ligatures w14:val="none"/>
        </w:rPr>
        <w:t>757</w:t>
      </w:r>
      <w:r w:rsidRPr="00B93597">
        <w:rPr>
          <w:rFonts w:ascii="Work Sans" w:hAnsi="Work Sans"/>
          <w:b/>
          <w:bCs/>
        </w:rPr>
        <w:t xml:space="preserve"> </w:t>
      </w:r>
      <w:r w:rsidRPr="002274D9">
        <w:rPr>
          <w:rFonts w:ascii="Work Sans" w:hAnsi="Work Sans"/>
          <w:b/>
          <w:bCs/>
        </w:rPr>
        <w:t>viviendas sin servicio de energía</w:t>
      </w:r>
      <w:r w:rsidRPr="002274D9">
        <w:rPr>
          <w:rFonts w:ascii="Work Sans" w:hAnsi="Work Sans"/>
        </w:rPr>
        <w:t>, de l</w:t>
      </w:r>
      <w:r w:rsidR="00B93597">
        <w:rPr>
          <w:rFonts w:ascii="Work Sans" w:hAnsi="Work Sans"/>
        </w:rPr>
        <w:t>a</w:t>
      </w:r>
      <w:r w:rsidRPr="002274D9">
        <w:rPr>
          <w:rFonts w:ascii="Work Sans" w:hAnsi="Work Sans"/>
        </w:rPr>
        <w:t xml:space="preserve">s cuales </w:t>
      </w:r>
      <w:r w:rsidR="00C57185" w:rsidRPr="00803A37">
        <w:rPr>
          <w:rFonts w:ascii="Work Sans" w:eastAsia="Times New Roman" w:hAnsi="Work Sans" w:cs="Times New Roman"/>
          <w:color w:val="000000"/>
          <w:kern w:val="0"/>
          <w:lang w:eastAsia="es-CO"/>
          <w14:ligatures w14:val="none"/>
        </w:rPr>
        <w:t>138</w:t>
      </w:r>
      <w:r w:rsidR="00C57185" w:rsidRPr="002274D9">
        <w:rPr>
          <w:rFonts w:ascii="Work Sans" w:eastAsia="Times New Roman" w:hAnsi="Work Sans" w:cs="Times New Roman"/>
          <w:color w:val="000000"/>
          <w:kern w:val="0"/>
          <w:lang w:eastAsia="es-CO"/>
          <w14:ligatures w14:val="none"/>
        </w:rPr>
        <w:t>.</w:t>
      </w:r>
      <w:r w:rsidR="00C57185" w:rsidRPr="00803A37">
        <w:rPr>
          <w:rFonts w:ascii="Work Sans" w:eastAsia="Times New Roman" w:hAnsi="Work Sans" w:cs="Times New Roman"/>
          <w:color w:val="000000"/>
          <w:kern w:val="0"/>
          <w:lang w:eastAsia="es-CO"/>
          <w14:ligatures w14:val="none"/>
        </w:rPr>
        <w:t>716</w:t>
      </w:r>
      <w:r w:rsidR="00C57185" w:rsidRPr="002274D9">
        <w:rPr>
          <w:rFonts w:ascii="Work Sans" w:eastAsia="Times New Roman" w:hAnsi="Work Sans" w:cs="Times New Roman"/>
          <w:color w:val="000000"/>
          <w:kern w:val="0"/>
          <w:lang w:eastAsia="es-CO"/>
          <w14:ligatures w14:val="none"/>
        </w:rPr>
        <w:t xml:space="preserve"> (41,69 %) pertenecen a usuarios residentes del departamento de La Guajira.</w:t>
      </w:r>
    </w:p>
    <w:p w14:paraId="70FCB545" w14:textId="5B35C7C9" w:rsidR="00803A37" w:rsidRPr="00803A37" w:rsidRDefault="008522D5" w:rsidP="008522D5">
      <w:pPr>
        <w:jc w:val="both"/>
        <w:rPr>
          <w:rFonts w:ascii="Work Sans" w:hAnsi="Work Sans"/>
        </w:rPr>
      </w:pPr>
      <w:r>
        <w:rPr>
          <w:rFonts w:ascii="Work Sans" w:hAnsi="Work Sans"/>
        </w:rPr>
        <w:t>Ahora, con respecto al</w:t>
      </w:r>
      <w:r w:rsidR="00803A37" w:rsidRPr="00803A37">
        <w:rPr>
          <w:rFonts w:ascii="Work Sans" w:hAnsi="Work Sans"/>
        </w:rPr>
        <w:t xml:space="preserve"> sistema eléctrico de AIR-E en el departamento de La Guajira</w:t>
      </w:r>
      <w:r>
        <w:rPr>
          <w:rFonts w:ascii="Work Sans" w:hAnsi="Work Sans"/>
        </w:rPr>
        <w:t>, este</w:t>
      </w:r>
      <w:r w:rsidR="00803A37" w:rsidRPr="00803A37">
        <w:rPr>
          <w:rFonts w:ascii="Work Sans" w:hAnsi="Work Sans"/>
        </w:rPr>
        <w:t xml:space="preserve"> está compuesto por una red de subestaciones interconectadas que garantizan el suministro de energía en la región: </w:t>
      </w:r>
    </w:p>
    <w:p w14:paraId="29C30769" w14:textId="77777777" w:rsidR="00803A37" w:rsidRPr="00803A37" w:rsidRDefault="00803A37" w:rsidP="008522D5">
      <w:pPr>
        <w:numPr>
          <w:ilvl w:val="0"/>
          <w:numId w:val="4"/>
        </w:numPr>
        <w:jc w:val="both"/>
        <w:rPr>
          <w:rFonts w:ascii="Work Sans" w:hAnsi="Work Sans"/>
        </w:rPr>
      </w:pPr>
      <w:r w:rsidRPr="00803A37">
        <w:rPr>
          <w:rFonts w:ascii="Work Sans" w:hAnsi="Work Sans"/>
        </w:rPr>
        <w:t>Subestación Cuestecitas: Con una capacidad de transformación de 110/34,5 kV y 25 MVA, alimenta mediante un circuito radial a 34,5 kV a la subestación Hato Nuevo, la cual a su vez se conecta con la subestación Barrancas a través de un circuito radial a 34,5 kV. </w:t>
      </w:r>
    </w:p>
    <w:p w14:paraId="3A001DFD" w14:textId="77777777" w:rsidR="00803A37" w:rsidRPr="00803A37" w:rsidRDefault="00803A37" w:rsidP="008522D5">
      <w:pPr>
        <w:numPr>
          <w:ilvl w:val="0"/>
          <w:numId w:val="5"/>
        </w:numPr>
        <w:jc w:val="both"/>
        <w:rPr>
          <w:rFonts w:ascii="Work Sans" w:hAnsi="Work Sans"/>
        </w:rPr>
      </w:pPr>
      <w:r w:rsidRPr="00803A37">
        <w:rPr>
          <w:rFonts w:ascii="Work Sans" w:hAnsi="Work Sans"/>
        </w:rPr>
        <w:t>Subestación Riohacha: Posee una capacidad de transformación de 110/34,5 kV y 20 MVA. Desde esta subestación, se alimenta por medio de circuitos radiales a nivel de 34,5 kV a la subestación Camarones, así como a las subestaciones Ballenas, Manaure y Uribía. </w:t>
      </w:r>
    </w:p>
    <w:p w14:paraId="318B3A65" w14:textId="77777777" w:rsidR="00803A37" w:rsidRPr="00803A37" w:rsidRDefault="00803A37" w:rsidP="008522D5">
      <w:pPr>
        <w:numPr>
          <w:ilvl w:val="0"/>
          <w:numId w:val="6"/>
        </w:numPr>
        <w:jc w:val="both"/>
        <w:rPr>
          <w:rFonts w:ascii="Work Sans" w:hAnsi="Work Sans"/>
        </w:rPr>
      </w:pPr>
      <w:r w:rsidRPr="00803A37">
        <w:rPr>
          <w:rFonts w:ascii="Work Sans" w:hAnsi="Work Sans"/>
        </w:rPr>
        <w:t>Subestación Termoguajira: Cuenta con una capacidad de transformación de 220/34,5 kV y 20 MVA, lo que refuerza la confiabilidad del sistema eléctrico en la zona. </w:t>
      </w:r>
    </w:p>
    <w:p w14:paraId="045EEF9F" w14:textId="77777777" w:rsidR="005D32C6" w:rsidRPr="0011630C" w:rsidRDefault="005D32C6" w:rsidP="00E751C4">
      <w:pPr>
        <w:jc w:val="both"/>
        <w:rPr>
          <w:rFonts w:ascii="Work Sans" w:hAnsi="Work Sans"/>
          <w:b/>
          <w:bCs/>
        </w:rPr>
      </w:pPr>
      <w:r w:rsidRPr="0011630C">
        <w:rPr>
          <w:rFonts w:ascii="Work Sans" w:hAnsi="Work Sans"/>
          <w:b/>
          <w:bCs/>
        </w:rPr>
        <w:t xml:space="preserve">2. Proyectos eólicos y energéticos junto con el estado en el que se encuentran, promotor, y que falta para que entre en operación (en caso de que aplique) </w:t>
      </w:r>
    </w:p>
    <w:p w14:paraId="3BC39F15" w14:textId="7B5AB053" w:rsidR="005D32C6" w:rsidRDefault="00F419C5" w:rsidP="00E751C4">
      <w:pPr>
        <w:jc w:val="both"/>
        <w:rPr>
          <w:rFonts w:ascii="Work Sans" w:hAnsi="Work Sans"/>
        </w:rPr>
      </w:pPr>
      <w:r w:rsidRPr="0D319830">
        <w:rPr>
          <w:rFonts w:ascii="Work Sans" w:hAnsi="Work Sans"/>
        </w:rPr>
        <w:t>Según datos de la UPME en su reporte de conexiones con capacidad asignada, a</w:t>
      </w:r>
      <w:r w:rsidR="003A6A91" w:rsidRPr="0D319830">
        <w:rPr>
          <w:rFonts w:ascii="Work Sans" w:hAnsi="Work Sans"/>
        </w:rPr>
        <w:t xml:space="preserve">ctualmente se cuenta con un total de </w:t>
      </w:r>
      <w:r w:rsidRPr="0D319830">
        <w:rPr>
          <w:rFonts w:ascii="Work Sans" w:hAnsi="Work Sans"/>
        </w:rPr>
        <w:t>veintiún</w:t>
      </w:r>
      <w:r w:rsidR="003A6A91" w:rsidRPr="0D319830">
        <w:rPr>
          <w:rFonts w:ascii="Work Sans" w:hAnsi="Work Sans"/>
        </w:rPr>
        <w:t xml:space="preserve"> </w:t>
      </w:r>
      <w:r w:rsidR="00EE69F2" w:rsidRPr="0D319830">
        <w:rPr>
          <w:rFonts w:ascii="Work Sans" w:hAnsi="Work Sans"/>
        </w:rPr>
        <w:t>(21) proyectos de energía eólica</w:t>
      </w:r>
      <w:r w:rsidRPr="0D319830">
        <w:rPr>
          <w:rFonts w:ascii="Work Sans" w:hAnsi="Work Sans"/>
        </w:rPr>
        <w:t xml:space="preserve"> con punto de conexión aprobado</w:t>
      </w:r>
      <w:r w:rsidR="00EE69F2" w:rsidRPr="0D319830">
        <w:rPr>
          <w:rFonts w:ascii="Work Sans" w:hAnsi="Work Sans"/>
        </w:rPr>
        <w:t xml:space="preserve">, de los cuales </w:t>
      </w:r>
      <w:r w:rsidR="00337EE1" w:rsidRPr="0D319830">
        <w:rPr>
          <w:rFonts w:ascii="Work Sans" w:hAnsi="Work Sans"/>
        </w:rPr>
        <w:t xml:space="preserve">diecisiete (17) se encuentran en el departamento de </w:t>
      </w:r>
      <w:r w:rsidR="333BAD4D" w:rsidRPr="0D319830">
        <w:rPr>
          <w:rFonts w:ascii="Work Sans" w:hAnsi="Work Sans"/>
        </w:rPr>
        <w:t>L</w:t>
      </w:r>
      <w:r w:rsidR="00337EE1" w:rsidRPr="0D319830">
        <w:rPr>
          <w:rFonts w:ascii="Work Sans" w:hAnsi="Work Sans"/>
        </w:rPr>
        <w:t xml:space="preserve">a </w:t>
      </w:r>
      <w:r w:rsidR="02FB63DB" w:rsidRPr="0D319830">
        <w:rPr>
          <w:rFonts w:ascii="Work Sans" w:hAnsi="Work Sans"/>
        </w:rPr>
        <w:t>G</w:t>
      </w:r>
      <w:r w:rsidR="00337EE1" w:rsidRPr="0D319830">
        <w:rPr>
          <w:rFonts w:ascii="Work Sans" w:hAnsi="Work Sans"/>
        </w:rPr>
        <w:t>uajira</w:t>
      </w:r>
      <w:r w:rsidRPr="0D319830">
        <w:rPr>
          <w:rFonts w:ascii="Work Sans" w:hAnsi="Work Sans"/>
        </w:rPr>
        <w:t>.</w:t>
      </w:r>
    </w:p>
    <w:p w14:paraId="78FE5C8D" w14:textId="3E0DAE47" w:rsidR="00FC7B73" w:rsidRDefault="00FC7B73" w:rsidP="00E751C4">
      <w:pPr>
        <w:jc w:val="both"/>
        <w:rPr>
          <w:rFonts w:ascii="Work Sans" w:hAnsi="Work Sans"/>
        </w:rPr>
      </w:pPr>
      <w:r>
        <w:rPr>
          <w:rFonts w:ascii="Work Sans" w:hAnsi="Work Sans"/>
        </w:rPr>
        <w:t>Ahora bien, de los 17 proyectos eólicos en La Guajira, 15 se encuentran supeditados a obras de expansión, principalmente a al proyecto de Colectora 500 kV y líneas asociadas.</w:t>
      </w:r>
    </w:p>
    <w:p w14:paraId="1EF4E9FA" w14:textId="49F05FC1" w:rsidR="00FC7B73" w:rsidRDefault="00FC7B73" w:rsidP="00E751C4">
      <w:pPr>
        <w:jc w:val="both"/>
        <w:rPr>
          <w:rFonts w:ascii="Work Sans" w:hAnsi="Work Sans"/>
        </w:rPr>
      </w:pPr>
      <w:r>
        <w:rPr>
          <w:rFonts w:ascii="Work Sans" w:hAnsi="Work Sans"/>
        </w:rPr>
        <w:t xml:space="preserve">Y si bien no todos tienen como punto de conexión Colectora 500 kV, se da la claridad que la entrada en operación de esta obra afecta tanto la capacidad de transporte del sistema eléctrico como toda la dinámica de los flujos de potencia y curabilidades de las líneas, toda vez que los sistemas eléctricos son considerados sistemas complejos.  </w:t>
      </w:r>
    </w:p>
    <w:p w14:paraId="22750E4B" w14:textId="78AFA78B" w:rsidR="006400B4" w:rsidRPr="002274D9" w:rsidRDefault="006400B4" w:rsidP="00E751C4">
      <w:pPr>
        <w:jc w:val="both"/>
        <w:rPr>
          <w:rFonts w:ascii="Work Sans" w:hAnsi="Work Sans"/>
        </w:rPr>
      </w:pPr>
      <w:r>
        <w:rPr>
          <w:rFonts w:ascii="Work Sans" w:hAnsi="Work Sans"/>
        </w:rPr>
        <w:t xml:space="preserve">A </w:t>
      </w:r>
      <w:r w:rsidR="00FC7B73">
        <w:rPr>
          <w:rFonts w:ascii="Work Sans" w:hAnsi="Work Sans"/>
        </w:rPr>
        <w:t>continuación,</w:t>
      </w:r>
      <w:r>
        <w:rPr>
          <w:rFonts w:ascii="Work Sans" w:hAnsi="Work Sans"/>
        </w:rPr>
        <w:t xml:space="preserve"> se relacionan </w:t>
      </w:r>
      <w:r w:rsidR="008A7FA8">
        <w:rPr>
          <w:rFonts w:ascii="Work Sans" w:hAnsi="Work Sans"/>
        </w:rPr>
        <w:t>los proyectos de los cuales se cuenta con información:</w:t>
      </w:r>
      <w:r>
        <w:rPr>
          <w:rFonts w:ascii="Work Sans" w:hAnsi="Work Sans"/>
        </w:rPr>
        <w:t xml:space="preserve"> </w:t>
      </w:r>
    </w:p>
    <w:p w14:paraId="59B20AE7" w14:textId="77777777" w:rsidR="00991DA9" w:rsidRPr="002274D9" w:rsidRDefault="00991DA9" w:rsidP="005D32C6">
      <w:pPr>
        <w:rPr>
          <w:rFonts w:ascii="Work Sans" w:hAnsi="Work Sans"/>
        </w:rPr>
      </w:pPr>
    </w:p>
    <w:p w14:paraId="5E5FF511" w14:textId="77777777" w:rsidR="00991DA9" w:rsidRPr="002274D9" w:rsidRDefault="00991DA9" w:rsidP="005D32C6">
      <w:pPr>
        <w:rPr>
          <w:rFonts w:ascii="Work Sans" w:hAnsi="Work Sans"/>
        </w:rPr>
      </w:pPr>
    </w:p>
    <w:p w14:paraId="751BB4F5" w14:textId="77777777" w:rsidR="00991DA9" w:rsidRPr="002274D9" w:rsidRDefault="00991DA9" w:rsidP="005D32C6">
      <w:pPr>
        <w:rPr>
          <w:rFonts w:ascii="Work Sans" w:hAnsi="Work Sans"/>
        </w:rPr>
      </w:pPr>
    </w:p>
    <w:p w14:paraId="561225D6" w14:textId="77777777" w:rsidR="007E679A" w:rsidRPr="002274D9" w:rsidRDefault="007E679A" w:rsidP="00526AB5">
      <w:pPr>
        <w:jc w:val="center"/>
        <w:rPr>
          <w:rFonts w:ascii="Work Sans" w:eastAsia="Times New Roman" w:hAnsi="Work Sans" w:cs="Calibri"/>
          <w:color w:val="000000"/>
          <w:kern w:val="0"/>
          <w:sz w:val="18"/>
          <w:szCs w:val="18"/>
          <w:lang w:eastAsia="es-CO"/>
          <w14:ligatures w14:val="none"/>
        </w:rPr>
        <w:sectPr w:rsidR="007E679A" w:rsidRPr="002274D9">
          <w:pgSz w:w="12240" w:h="15840"/>
          <w:pgMar w:top="1417" w:right="1701" w:bottom="1417" w:left="1701" w:header="708" w:footer="708" w:gutter="0"/>
          <w:cols w:space="708"/>
          <w:docGrid w:linePitch="360"/>
        </w:sectPr>
      </w:pPr>
    </w:p>
    <w:tbl>
      <w:tblPr>
        <w:tblStyle w:val="TableGrid"/>
        <w:tblW w:w="13139" w:type="dxa"/>
        <w:tblLayout w:type="fixed"/>
        <w:tblLook w:val="04A0" w:firstRow="1" w:lastRow="0" w:firstColumn="1" w:lastColumn="0" w:noHBand="0" w:noVBand="1"/>
      </w:tblPr>
      <w:tblGrid>
        <w:gridCol w:w="1271"/>
        <w:gridCol w:w="1590"/>
        <w:gridCol w:w="1680"/>
        <w:gridCol w:w="1124"/>
        <w:gridCol w:w="1546"/>
        <w:gridCol w:w="1245"/>
        <w:gridCol w:w="1560"/>
        <w:gridCol w:w="3123"/>
      </w:tblGrid>
      <w:tr w:rsidR="002274D9" w:rsidRPr="002274D9" w14:paraId="602297EB" w14:textId="77777777" w:rsidTr="00F97D14">
        <w:trPr>
          <w:trHeight w:val="300"/>
        </w:trPr>
        <w:tc>
          <w:tcPr>
            <w:tcW w:w="1271" w:type="dxa"/>
            <w:shd w:val="clear" w:color="auto" w:fill="FFC000" w:themeFill="accent4"/>
            <w:noWrap/>
            <w:vAlign w:val="center"/>
            <w:hideMark/>
          </w:tcPr>
          <w:p w14:paraId="2EF5415D" w14:textId="10DC953C"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 xml:space="preserve">Año </w:t>
            </w:r>
            <w:r w:rsidR="002274D9" w:rsidRPr="0011630C">
              <w:rPr>
                <w:rFonts w:ascii="Work Sans" w:eastAsia="Times New Roman" w:hAnsi="Work Sans" w:cs="Calibri"/>
                <w:b/>
                <w:bCs/>
                <w:color w:val="FFFFFF" w:themeColor="background1"/>
                <w:kern w:val="0"/>
                <w:sz w:val="18"/>
                <w:szCs w:val="18"/>
                <w:lang w:eastAsia="es-CO"/>
                <w14:ligatures w14:val="none"/>
              </w:rPr>
              <w:t>De Asignación</w:t>
            </w:r>
          </w:p>
        </w:tc>
        <w:tc>
          <w:tcPr>
            <w:tcW w:w="1590" w:type="dxa"/>
            <w:shd w:val="clear" w:color="auto" w:fill="FFC000" w:themeFill="accent4"/>
            <w:noWrap/>
            <w:vAlign w:val="center"/>
            <w:hideMark/>
          </w:tcPr>
          <w:p w14:paraId="11D96641"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Estado</w:t>
            </w:r>
          </w:p>
        </w:tc>
        <w:tc>
          <w:tcPr>
            <w:tcW w:w="1680" w:type="dxa"/>
            <w:shd w:val="clear" w:color="auto" w:fill="FFC000" w:themeFill="accent4"/>
            <w:noWrap/>
            <w:vAlign w:val="center"/>
            <w:hideMark/>
          </w:tcPr>
          <w:p w14:paraId="5C347A71"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Nombre</w:t>
            </w:r>
          </w:p>
        </w:tc>
        <w:tc>
          <w:tcPr>
            <w:tcW w:w="1124" w:type="dxa"/>
            <w:shd w:val="clear" w:color="auto" w:fill="FFC000" w:themeFill="accent4"/>
            <w:noWrap/>
            <w:vAlign w:val="center"/>
            <w:hideMark/>
          </w:tcPr>
          <w:p w14:paraId="644A2F0B"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Promotor</w:t>
            </w:r>
          </w:p>
        </w:tc>
        <w:tc>
          <w:tcPr>
            <w:tcW w:w="1546" w:type="dxa"/>
            <w:shd w:val="clear" w:color="auto" w:fill="FFC000" w:themeFill="accent4"/>
            <w:noWrap/>
            <w:vAlign w:val="center"/>
            <w:hideMark/>
          </w:tcPr>
          <w:p w14:paraId="2DF7427B"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Municipio</w:t>
            </w:r>
          </w:p>
        </w:tc>
        <w:tc>
          <w:tcPr>
            <w:tcW w:w="1245" w:type="dxa"/>
            <w:shd w:val="clear" w:color="auto" w:fill="FFC000" w:themeFill="accent4"/>
            <w:noWrap/>
            <w:vAlign w:val="center"/>
            <w:hideMark/>
          </w:tcPr>
          <w:p w14:paraId="01BE289A" w14:textId="577CB4DF" w:rsidR="00041A77" w:rsidRPr="00041A77" w:rsidRDefault="011F351E"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Capacidad</w:t>
            </w:r>
            <w:r w:rsidR="3737FC67" w:rsidRPr="0011630C">
              <w:rPr>
                <w:rFonts w:ascii="Work Sans" w:eastAsia="Times New Roman" w:hAnsi="Work Sans" w:cs="Calibri"/>
                <w:b/>
                <w:bCs/>
                <w:color w:val="FFFFFF" w:themeColor="background1"/>
                <w:kern w:val="0"/>
                <w:sz w:val="18"/>
                <w:szCs w:val="18"/>
                <w:lang w:eastAsia="es-CO"/>
                <w14:ligatures w14:val="none"/>
              </w:rPr>
              <w:t xml:space="preserve"> (</w:t>
            </w:r>
            <w:r w:rsidRPr="00041A77">
              <w:rPr>
                <w:rFonts w:ascii="Work Sans" w:eastAsia="Times New Roman" w:hAnsi="Work Sans" w:cs="Calibri"/>
                <w:b/>
                <w:bCs/>
                <w:color w:val="FFFFFF" w:themeColor="background1"/>
                <w:kern w:val="0"/>
                <w:sz w:val="18"/>
                <w:szCs w:val="18"/>
                <w:lang w:eastAsia="es-CO"/>
                <w14:ligatures w14:val="none"/>
              </w:rPr>
              <w:t>MW</w:t>
            </w:r>
            <w:r w:rsidR="3737FC67" w:rsidRPr="0011630C">
              <w:rPr>
                <w:rFonts w:ascii="Work Sans" w:eastAsia="Times New Roman" w:hAnsi="Work Sans" w:cs="Calibri"/>
                <w:b/>
                <w:bCs/>
                <w:color w:val="FFFFFF" w:themeColor="background1"/>
                <w:kern w:val="0"/>
                <w:sz w:val="18"/>
                <w:szCs w:val="18"/>
                <w:lang w:eastAsia="es-CO"/>
                <w14:ligatures w14:val="none"/>
              </w:rPr>
              <w:t>)</w:t>
            </w:r>
          </w:p>
        </w:tc>
        <w:tc>
          <w:tcPr>
            <w:tcW w:w="1560" w:type="dxa"/>
            <w:shd w:val="clear" w:color="auto" w:fill="FFC000" w:themeFill="accent4"/>
            <w:noWrap/>
            <w:vAlign w:val="center"/>
            <w:hideMark/>
          </w:tcPr>
          <w:p w14:paraId="77284D18" w14:textId="6FB4F50E"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 xml:space="preserve">Punto </w:t>
            </w:r>
            <w:r w:rsidR="002274D9" w:rsidRPr="0011630C">
              <w:rPr>
                <w:rFonts w:ascii="Work Sans" w:eastAsia="Times New Roman" w:hAnsi="Work Sans" w:cs="Calibri"/>
                <w:b/>
                <w:bCs/>
                <w:color w:val="FFFFFF" w:themeColor="background1"/>
                <w:kern w:val="0"/>
                <w:sz w:val="18"/>
                <w:szCs w:val="18"/>
                <w:lang w:eastAsia="es-CO"/>
                <w14:ligatures w14:val="none"/>
              </w:rPr>
              <w:t>De Conexión</w:t>
            </w:r>
          </w:p>
        </w:tc>
        <w:tc>
          <w:tcPr>
            <w:tcW w:w="3123" w:type="dxa"/>
            <w:shd w:val="clear" w:color="auto" w:fill="FFC000" w:themeFill="accent4"/>
            <w:vAlign w:val="center"/>
          </w:tcPr>
          <w:p w14:paraId="45E85BB1" w14:textId="3230C6FA" w:rsidR="628CFEAB" w:rsidRDefault="628CFEAB" w:rsidP="0D319830">
            <w:pPr>
              <w:jc w:val="center"/>
              <w:rPr>
                <w:rFonts w:ascii="Work Sans" w:eastAsia="Times New Roman" w:hAnsi="Work Sans" w:cs="Calibri"/>
                <w:b/>
                <w:bCs/>
                <w:color w:val="FFFFFF" w:themeColor="background1"/>
                <w:sz w:val="18"/>
                <w:szCs w:val="18"/>
                <w:lang w:eastAsia="es-CO"/>
              </w:rPr>
            </w:pPr>
            <w:r w:rsidRPr="0D319830">
              <w:rPr>
                <w:rFonts w:ascii="Work Sans" w:eastAsia="Times New Roman" w:hAnsi="Work Sans" w:cs="Calibri"/>
                <w:b/>
                <w:bCs/>
                <w:color w:val="FFFFFF" w:themeColor="background1"/>
                <w:sz w:val="18"/>
                <w:szCs w:val="18"/>
                <w:lang w:eastAsia="es-CO"/>
              </w:rPr>
              <w:t>Observaciones</w:t>
            </w:r>
          </w:p>
        </w:tc>
      </w:tr>
      <w:tr w:rsidR="002274D9" w:rsidRPr="002274D9" w14:paraId="7636B355" w14:textId="77777777" w:rsidTr="00F97D14">
        <w:trPr>
          <w:trHeight w:val="300"/>
        </w:trPr>
        <w:tc>
          <w:tcPr>
            <w:tcW w:w="1271" w:type="dxa"/>
            <w:noWrap/>
            <w:vAlign w:val="center"/>
            <w:hideMark/>
          </w:tcPr>
          <w:p w14:paraId="27F0BFE3" w14:textId="3F30399D"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2023</w:t>
            </w:r>
          </w:p>
        </w:tc>
        <w:tc>
          <w:tcPr>
            <w:tcW w:w="1590" w:type="dxa"/>
            <w:noWrap/>
            <w:vAlign w:val="center"/>
            <w:hideMark/>
          </w:tcPr>
          <w:p w14:paraId="59FE4280" w14:textId="1D34F16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0A4A1CF1" w14:textId="1DF957E9" w:rsidR="00041A77" w:rsidRPr="00041A77" w:rsidRDefault="4EE260C2"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Elipse</w:t>
            </w:r>
          </w:p>
        </w:tc>
        <w:tc>
          <w:tcPr>
            <w:tcW w:w="1124" w:type="dxa"/>
            <w:noWrap/>
            <w:vAlign w:val="center"/>
            <w:hideMark/>
          </w:tcPr>
          <w:p w14:paraId="5845075E"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ELIPSE</w:t>
            </w:r>
          </w:p>
        </w:tc>
        <w:tc>
          <w:tcPr>
            <w:tcW w:w="1546" w:type="dxa"/>
            <w:noWrap/>
            <w:vAlign w:val="center"/>
            <w:hideMark/>
          </w:tcPr>
          <w:p w14:paraId="6FFB7747"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1D1BE0CC" w14:textId="150E5DB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518BAB47" w14:textId="6A0D56D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4E88A0B4" w14:textId="6E55A96F" w:rsidR="0D319830" w:rsidRDefault="001434CC"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r w:rsidR="00303A03">
              <w:rPr>
                <w:rFonts w:ascii="Work Sans" w:eastAsia="Times New Roman" w:hAnsi="Work Sans" w:cs="Calibri"/>
                <w:color w:val="000000" w:themeColor="text1"/>
                <w:sz w:val="18"/>
                <w:szCs w:val="18"/>
                <w:lang w:eastAsia="es-CO"/>
              </w:rPr>
              <w:t xml:space="preserve"> sin avances reportados</w:t>
            </w:r>
            <w:r w:rsidR="009771F1">
              <w:rPr>
                <w:rFonts w:ascii="Work Sans" w:eastAsia="Times New Roman" w:hAnsi="Work Sans" w:cs="Calibri"/>
                <w:color w:val="000000" w:themeColor="text1"/>
                <w:sz w:val="18"/>
                <w:szCs w:val="18"/>
                <w:lang w:eastAsia="es-CO"/>
              </w:rPr>
              <w:t>.</w:t>
            </w:r>
          </w:p>
        </w:tc>
      </w:tr>
      <w:tr w:rsidR="002274D9" w:rsidRPr="002274D9" w14:paraId="5D0E5127" w14:textId="77777777" w:rsidTr="00F97D14">
        <w:trPr>
          <w:trHeight w:val="300"/>
        </w:trPr>
        <w:tc>
          <w:tcPr>
            <w:tcW w:w="1271" w:type="dxa"/>
            <w:noWrap/>
            <w:vAlign w:val="center"/>
            <w:hideMark/>
          </w:tcPr>
          <w:p w14:paraId="2B8ABD57" w14:textId="7AFA01C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2017</w:t>
            </w:r>
          </w:p>
        </w:tc>
        <w:tc>
          <w:tcPr>
            <w:tcW w:w="1590" w:type="dxa"/>
            <w:noWrap/>
            <w:vAlign w:val="center"/>
            <w:hideMark/>
          </w:tcPr>
          <w:p w14:paraId="048E7705" w14:textId="2703EC8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878A812" w14:textId="583E69C7" w:rsidR="00041A77" w:rsidRPr="00041A77" w:rsidRDefault="031B3E6F" w:rsidP="0D319830">
            <w:pPr>
              <w:jc w:val="center"/>
            </w:pPr>
            <w:r w:rsidRPr="0D319830">
              <w:rPr>
                <w:rFonts w:ascii="Work Sans" w:eastAsia="Times New Roman" w:hAnsi="Work Sans" w:cs="Calibri"/>
                <w:color w:val="000000" w:themeColor="text1"/>
                <w:sz w:val="18"/>
                <w:szCs w:val="18"/>
                <w:lang w:eastAsia="es-CO"/>
              </w:rPr>
              <w:t>Acacias 2</w:t>
            </w:r>
          </w:p>
        </w:tc>
        <w:tc>
          <w:tcPr>
            <w:tcW w:w="1124" w:type="dxa"/>
            <w:noWrap/>
            <w:vAlign w:val="center"/>
            <w:hideMark/>
          </w:tcPr>
          <w:p w14:paraId="77D4AFA6" w14:textId="702EC479" w:rsidR="00041A77" w:rsidRPr="00041A77" w:rsidRDefault="29804487" w:rsidP="0D319830">
            <w:pPr>
              <w:jc w:val="center"/>
            </w:pPr>
            <w:r w:rsidRPr="0D319830">
              <w:rPr>
                <w:rFonts w:ascii="Work Sans" w:eastAsia="Times New Roman" w:hAnsi="Work Sans" w:cs="Calibri"/>
                <w:color w:val="000000" w:themeColor="text1"/>
                <w:sz w:val="18"/>
                <w:szCs w:val="18"/>
                <w:lang w:eastAsia="es-CO"/>
              </w:rPr>
              <w:t>CELSIA</w:t>
            </w:r>
          </w:p>
        </w:tc>
        <w:tc>
          <w:tcPr>
            <w:tcW w:w="1546" w:type="dxa"/>
            <w:noWrap/>
            <w:vAlign w:val="center"/>
            <w:hideMark/>
          </w:tcPr>
          <w:p w14:paraId="42C63A63"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49BAB30B" w14:textId="05820104"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80</w:t>
            </w:r>
          </w:p>
        </w:tc>
        <w:tc>
          <w:tcPr>
            <w:tcW w:w="1560" w:type="dxa"/>
            <w:noWrap/>
            <w:vAlign w:val="center"/>
            <w:hideMark/>
          </w:tcPr>
          <w:p w14:paraId="1A7386FD" w14:textId="4B2E4E5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14832125" w14:textId="730F3DB5" w:rsidR="00B6461E" w:rsidRDefault="00F70EE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Parque </w:t>
            </w:r>
            <w:r w:rsidR="008568AC">
              <w:rPr>
                <w:rFonts w:ascii="Work Sans" w:eastAsia="Times New Roman" w:hAnsi="Work Sans" w:cs="Calibri"/>
                <w:color w:val="000000" w:themeColor="text1"/>
                <w:sz w:val="18"/>
                <w:szCs w:val="18"/>
                <w:lang w:eastAsia="es-CO"/>
              </w:rPr>
              <w:t>eólico</w:t>
            </w:r>
            <w:r>
              <w:rPr>
                <w:rFonts w:ascii="Work Sans" w:eastAsia="Times New Roman" w:hAnsi="Work Sans" w:cs="Calibri"/>
                <w:color w:val="000000" w:themeColor="text1"/>
                <w:sz w:val="18"/>
                <w:szCs w:val="18"/>
                <w:lang w:eastAsia="es-CO"/>
              </w:rPr>
              <w:t xml:space="preserve"> y línea de conexión a la </w:t>
            </w:r>
            <w:r w:rsidR="008568AC">
              <w:rPr>
                <w:rFonts w:ascii="Work Sans" w:eastAsia="Times New Roman" w:hAnsi="Work Sans" w:cs="Calibri"/>
                <w:color w:val="000000" w:themeColor="text1"/>
                <w:sz w:val="18"/>
                <w:szCs w:val="18"/>
                <w:lang w:eastAsia="es-CO"/>
              </w:rPr>
              <w:t>subestación</w:t>
            </w:r>
            <w:r>
              <w:rPr>
                <w:rFonts w:ascii="Work Sans" w:eastAsia="Times New Roman" w:hAnsi="Work Sans" w:cs="Calibri"/>
                <w:color w:val="000000" w:themeColor="text1"/>
                <w:sz w:val="18"/>
                <w:szCs w:val="18"/>
                <w:lang w:eastAsia="es-CO"/>
              </w:rPr>
              <w:t xml:space="preserve"> camelias cuenta con licencia ambiental de </w:t>
            </w:r>
            <w:r w:rsidR="008568AC">
              <w:rPr>
                <w:rFonts w:ascii="Work Sans" w:eastAsia="Times New Roman" w:hAnsi="Work Sans" w:cs="Calibri"/>
                <w:color w:val="000000" w:themeColor="text1"/>
                <w:sz w:val="18"/>
                <w:szCs w:val="18"/>
                <w:lang w:eastAsia="es-CO"/>
              </w:rPr>
              <w:t>CORPOGUAJIRA</w:t>
            </w:r>
            <w:r w:rsidR="00573550">
              <w:rPr>
                <w:rFonts w:ascii="Work Sans" w:eastAsia="Times New Roman" w:hAnsi="Work Sans" w:cs="Calibri"/>
                <w:color w:val="000000" w:themeColor="text1"/>
                <w:sz w:val="18"/>
                <w:szCs w:val="18"/>
                <w:lang w:eastAsia="es-CO"/>
              </w:rPr>
              <w:t>.</w:t>
            </w:r>
          </w:p>
          <w:p w14:paraId="31E8BA6E" w14:textId="3E718B96" w:rsidR="00B6461E" w:rsidRDefault="00B6461E" w:rsidP="0D319830">
            <w:pPr>
              <w:jc w:val="center"/>
              <w:rPr>
                <w:rFonts w:ascii="Work Sans" w:eastAsia="Times New Roman" w:hAnsi="Work Sans" w:cs="Calibri"/>
                <w:color w:val="000000" w:themeColor="text1"/>
                <w:sz w:val="18"/>
                <w:szCs w:val="18"/>
                <w:lang w:eastAsia="es-CO"/>
              </w:rPr>
            </w:pPr>
          </w:p>
          <w:p w14:paraId="6B6F1366" w14:textId="673231AB" w:rsidR="0D319830" w:rsidRDefault="008134F4"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En solicitud de </w:t>
            </w:r>
            <w:r w:rsidR="00991DDD">
              <w:rPr>
                <w:rFonts w:ascii="Work Sans" w:eastAsia="Times New Roman" w:hAnsi="Work Sans" w:cs="Calibri"/>
                <w:color w:val="000000" w:themeColor="text1"/>
                <w:sz w:val="18"/>
                <w:szCs w:val="18"/>
                <w:lang w:eastAsia="es-CO"/>
              </w:rPr>
              <w:t xml:space="preserve">modificación de </w:t>
            </w:r>
            <w:r>
              <w:rPr>
                <w:rFonts w:ascii="Work Sans" w:eastAsia="Times New Roman" w:hAnsi="Work Sans" w:cs="Calibri"/>
                <w:color w:val="000000" w:themeColor="text1"/>
                <w:sz w:val="18"/>
                <w:szCs w:val="18"/>
                <w:lang w:eastAsia="es-CO"/>
              </w:rPr>
              <w:t>licencia ambiental.</w:t>
            </w:r>
          </w:p>
        </w:tc>
      </w:tr>
      <w:tr w:rsidR="002274D9" w:rsidRPr="002274D9" w14:paraId="367C4C7E" w14:textId="77777777" w:rsidTr="00F97D14">
        <w:trPr>
          <w:trHeight w:val="300"/>
        </w:trPr>
        <w:tc>
          <w:tcPr>
            <w:tcW w:w="1271" w:type="dxa"/>
            <w:noWrap/>
            <w:vAlign w:val="center"/>
            <w:hideMark/>
          </w:tcPr>
          <w:p w14:paraId="094C3CAF" w14:textId="1528212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4CC0AE2F" w14:textId="16786AFE"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Construcción</w:t>
            </w:r>
          </w:p>
        </w:tc>
        <w:tc>
          <w:tcPr>
            <w:tcW w:w="1680" w:type="dxa"/>
            <w:noWrap/>
            <w:vAlign w:val="center"/>
            <w:hideMark/>
          </w:tcPr>
          <w:p w14:paraId="16E72C26" w14:textId="0C3F8566" w:rsidR="00041A77" w:rsidRPr="00041A77" w:rsidRDefault="0A7127E8" w:rsidP="0D319830">
            <w:pPr>
              <w:jc w:val="center"/>
            </w:pPr>
            <w:r w:rsidRPr="0D319830">
              <w:rPr>
                <w:rFonts w:ascii="Work Sans" w:eastAsia="Times New Roman" w:hAnsi="Work Sans" w:cs="Calibri"/>
                <w:color w:val="000000" w:themeColor="text1"/>
                <w:sz w:val="18"/>
                <w:szCs w:val="18"/>
                <w:lang w:eastAsia="es-CO"/>
              </w:rPr>
              <w:t>Alpha</w:t>
            </w:r>
          </w:p>
        </w:tc>
        <w:tc>
          <w:tcPr>
            <w:tcW w:w="1124" w:type="dxa"/>
            <w:noWrap/>
            <w:vAlign w:val="center"/>
            <w:hideMark/>
          </w:tcPr>
          <w:p w14:paraId="3D9576EF" w14:textId="77777777" w:rsidR="00041A77" w:rsidRPr="00041A77" w:rsidRDefault="51B3C231"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EDPR</w:t>
            </w:r>
          </w:p>
        </w:tc>
        <w:tc>
          <w:tcPr>
            <w:tcW w:w="1546" w:type="dxa"/>
            <w:noWrap/>
            <w:vAlign w:val="center"/>
            <w:hideMark/>
          </w:tcPr>
          <w:p w14:paraId="7325A0CE"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0596EC9C" w14:textId="6CDEE580"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212</w:t>
            </w:r>
          </w:p>
        </w:tc>
        <w:tc>
          <w:tcPr>
            <w:tcW w:w="1560" w:type="dxa"/>
            <w:noWrap/>
            <w:vAlign w:val="center"/>
            <w:hideMark/>
          </w:tcPr>
          <w:p w14:paraId="09FFD433" w14:textId="15E9CA21"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w:t>
            </w:r>
            <w:r w:rsidR="3D2DC783" w:rsidRPr="00041A77">
              <w:rPr>
                <w:rFonts w:ascii="Work Sans" w:eastAsia="Times New Roman" w:hAnsi="Work Sans" w:cs="Calibri"/>
                <w:color w:val="000000"/>
                <w:kern w:val="0"/>
                <w:sz w:val="18"/>
                <w:szCs w:val="18"/>
                <w:lang w:eastAsia="es-CO"/>
                <w14:ligatures w14:val="none"/>
              </w:rPr>
              <w:t>S</w:t>
            </w:r>
          </w:p>
        </w:tc>
        <w:tc>
          <w:tcPr>
            <w:tcW w:w="3123" w:type="dxa"/>
            <w:vAlign w:val="center"/>
          </w:tcPr>
          <w:p w14:paraId="21B4A161" w14:textId="2A42A0AC" w:rsidR="009771F1" w:rsidRDefault="009771F1"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0A6D1C8F" w14:textId="4F092B17" w:rsidR="009771F1" w:rsidRDefault="009771F1" w:rsidP="0D319830">
            <w:pPr>
              <w:jc w:val="center"/>
              <w:rPr>
                <w:rFonts w:ascii="Work Sans" w:eastAsia="Times New Roman" w:hAnsi="Work Sans" w:cs="Calibri"/>
                <w:color w:val="000000" w:themeColor="text1"/>
                <w:sz w:val="18"/>
                <w:szCs w:val="18"/>
                <w:lang w:eastAsia="es-CO"/>
              </w:rPr>
            </w:pPr>
          </w:p>
          <w:p w14:paraId="04CA7AFC" w14:textId="30B2164C" w:rsidR="0D319830" w:rsidRDefault="00A60853"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La empresa ha manifestado la suspensión del proyecto, sin </w:t>
            </w:r>
            <w:r w:rsidR="00857845">
              <w:rPr>
                <w:rFonts w:ascii="Work Sans" w:eastAsia="Times New Roman" w:hAnsi="Work Sans" w:cs="Calibri"/>
                <w:color w:val="000000" w:themeColor="text1"/>
                <w:sz w:val="18"/>
                <w:szCs w:val="18"/>
                <w:lang w:eastAsia="es-CO"/>
              </w:rPr>
              <w:t>embargo,</w:t>
            </w:r>
            <w:r>
              <w:rPr>
                <w:rFonts w:ascii="Work Sans" w:eastAsia="Times New Roman" w:hAnsi="Work Sans" w:cs="Calibri"/>
                <w:color w:val="000000" w:themeColor="text1"/>
                <w:sz w:val="18"/>
                <w:szCs w:val="18"/>
                <w:lang w:eastAsia="es-CO"/>
              </w:rPr>
              <w:t xml:space="preserve"> continua con los tramites ambientales.</w:t>
            </w:r>
          </w:p>
        </w:tc>
      </w:tr>
      <w:tr w:rsidR="002274D9" w:rsidRPr="002274D9" w14:paraId="16EEC5AA" w14:textId="77777777" w:rsidTr="00F97D14">
        <w:trPr>
          <w:trHeight w:val="300"/>
        </w:trPr>
        <w:tc>
          <w:tcPr>
            <w:tcW w:w="1271" w:type="dxa"/>
            <w:noWrap/>
            <w:vAlign w:val="center"/>
            <w:hideMark/>
          </w:tcPr>
          <w:p w14:paraId="598F5ECE" w14:textId="00D6AE34"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6C34E74A" w14:textId="7467F5C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Construcción</w:t>
            </w:r>
          </w:p>
        </w:tc>
        <w:tc>
          <w:tcPr>
            <w:tcW w:w="1680" w:type="dxa"/>
            <w:noWrap/>
            <w:vAlign w:val="center"/>
            <w:hideMark/>
          </w:tcPr>
          <w:p w14:paraId="4499F5A6" w14:textId="035F2E4F" w:rsidR="00041A77" w:rsidRPr="00041A77" w:rsidRDefault="6B0F8E5D" w:rsidP="0D319830">
            <w:pPr>
              <w:jc w:val="center"/>
            </w:pPr>
            <w:r w:rsidRPr="0D319830">
              <w:rPr>
                <w:rFonts w:ascii="Work Sans" w:eastAsia="Times New Roman" w:hAnsi="Work Sans" w:cs="Calibri"/>
                <w:color w:val="000000" w:themeColor="text1"/>
                <w:sz w:val="18"/>
                <w:szCs w:val="18"/>
                <w:lang w:eastAsia="es-CO"/>
              </w:rPr>
              <w:t>Beta</w:t>
            </w:r>
          </w:p>
        </w:tc>
        <w:tc>
          <w:tcPr>
            <w:tcW w:w="1124" w:type="dxa"/>
            <w:noWrap/>
            <w:vAlign w:val="center"/>
            <w:hideMark/>
          </w:tcPr>
          <w:p w14:paraId="6171AD35" w14:textId="77777777" w:rsidR="00041A77" w:rsidRPr="00041A77" w:rsidRDefault="4B3DBD3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EDPR</w:t>
            </w:r>
          </w:p>
        </w:tc>
        <w:tc>
          <w:tcPr>
            <w:tcW w:w="1546" w:type="dxa"/>
            <w:noWrap/>
            <w:vAlign w:val="center"/>
            <w:hideMark/>
          </w:tcPr>
          <w:p w14:paraId="09BCDE44" w14:textId="323FCF5C"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URIBIA </w:t>
            </w:r>
            <w:r w:rsidR="002274D9" w:rsidRPr="00041A77">
              <w:rPr>
                <w:rFonts w:ascii="Work Sans" w:eastAsia="Times New Roman" w:hAnsi="Work Sans" w:cs="Calibri"/>
                <w:color w:val="000000"/>
                <w:kern w:val="0"/>
                <w:sz w:val="18"/>
                <w:szCs w:val="18"/>
                <w:lang w:eastAsia="es-CO"/>
                <w14:ligatures w14:val="none"/>
              </w:rPr>
              <w:t xml:space="preserve">- </w:t>
            </w: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2DA7859C" w14:textId="68AEDC5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280</w:t>
            </w:r>
          </w:p>
        </w:tc>
        <w:tc>
          <w:tcPr>
            <w:tcW w:w="1560" w:type="dxa"/>
            <w:noWrap/>
            <w:vAlign w:val="center"/>
            <w:hideMark/>
          </w:tcPr>
          <w:p w14:paraId="0EBD8046" w14:textId="387B1F4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Rio Cordoba</w:t>
            </w:r>
          </w:p>
        </w:tc>
        <w:tc>
          <w:tcPr>
            <w:tcW w:w="3123" w:type="dxa"/>
            <w:vAlign w:val="center"/>
          </w:tcPr>
          <w:p w14:paraId="273931DC" w14:textId="03BDC8C7" w:rsidR="009771F1" w:rsidRDefault="009771F1"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05D4E28C" w14:textId="58F467A4" w:rsidR="00573550" w:rsidRDefault="00573550" w:rsidP="0D319830">
            <w:pPr>
              <w:jc w:val="center"/>
              <w:rPr>
                <w:rFonts w:ascii="Work Sans" w:eastAsia="Times New Roman" w:hAnsi="Work Sans" w:cs="Calibri"/>
                <w:color w:val="000000" w:themeColor="text1"/>
                <w:sz w:val="18"/>
                <w:szCs w:val="18"/>
                <w:lang w:eastAsia="es-CO"/>
              </w:rPr>
            </w:pPr>
          </w:p>
          <w:p w14:paraId="18F71A86" w14:textId="4F9CC62C" w:rsidR="0D319830" w:rsidRDefault="00857845"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La empresa ha manifestado la suspensión del proyecto, sin embargo, continua con los tramites ambientales.</w:t>
            </w:r>
          </w:p>
        </w:tc>
      </w:tr>
      <w:tr w:rsidR="002274D9" w:rsidRPr="002274D9" w14:paraId="5680B5A5" w14:textId="77777777" w:rsidTr="00F97D14">
        <w:trPr>
          <w:trHeight w:val="300"/>
        </w:trPr>
        <w:tc>
          <w:tcPr>
            <w:tcW w:w="1271" w:type="dxa"/>
            <w:noWrap/>
            <w:vAlign w:val="center"/>
            <w:hideMark/>
          </w:tcPr>
          <w:p w14:paraId="6121C221" w14:textId="33AED0B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67214EBE" w14:textId="48B04549"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03D6B84D" w14:textId="6FB65164" w:rsidR="00041A77" w:rsidRPr="00041A77" w:rsidRDefault="0BDED887" w:rsidP="0D319830">
            <w:pPr>
              <w:jc w:val="center"/>
            </w:pPr>
            <w:r w:rsidRPr="0D319830">
              <w:rPr>
                <w:rFonts w:ascii="Work Sans" w:eastAsia="Times New Roman" w:hAnsi="Work Sans" w:cs="Calibri"/>
                <w:color w:val="000000" w:themeColor="text1"/>
                <w:sz w:val="18"/>
                <w:szCs w:val="18"/>
                <w:lang w:eastAsia="es-CO"/>
              </w:rPr>
              <w:t>Camelias</w:t>
            </w:r>
          </w:p>
        </w:tc>
        <w:tc>
          <w:tcPr>
            <w:tcW w:w="1124" w:type="dxa"/>
            <w:noWrap/>
            <w:vAlign w:val="center"/>
            <w:hideMark/>
          </w:tcPr>
          <w:p w14:paraId="5F691D50"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CELSIA</w:t>
            </w:r>
          </w:p>
        </w:tc>
        <w:tc>
          <w:tcPr>
            <w:tcW w:w="1546" w:type="dxa"/>
            <w:noWrap/>
            <w:vAlign w:val="center"/>
            <w:hideMark/>
          </w:tcPr>
          <w:p w14:paraId="4EDAB9B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38126423" w14:textId="5AEF703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250</w:t>
            </w:r>
          </w:p>
        </w:tc>
        <w:tc>
          <w:tcPr>
            <w:tcW w:w="1560" w:type="dxa"/>
            <w:noWrap/>
            <w:vAlign w:val="center"/>
            <w:hideMark/>
          </w:tcPr>
          <w:p w14:paraId="34986C55" w14:textId="23932811"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59D89DB0" w14:textId="5D848A62" w:rsidR="0D319830" w:rsidRDefault="00B6461E"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evaluación por modificación de la licencia ambiental (suspendido por ANLA), en proceso de consultas previas</w:t>
            </w:r>
            <w:r w:rsidR="00DC3D32">
              <w:rPr>
                <w:rFonts w:ascii="Work Sans" w:eastAsia="Times New Roman" w:hAnsi="Work Sans" w:cs="Calibri"/>
                <w:color w:val="000000" w:themeColor="text1"/>
                <w:sz w:val="18"/>
                <w:szCs w:val="18"/>
                <w:lang w:eastAsia="es-CO"/>
              </w:rPr>
              <w:t>.</w:t>
            </w:r>
          </w:p>
        </w:tc>
      </w:tr>
      <w:tr w:rsidR="002274D9" w:rsidRPr="002274D9" w14:paraId="28D5B7A2" w14:textId="77777777" w:rsidTr="00F97D14">
        <w:trPr>
          <w:trHeight w:val="300"/>
        </w:trPr>
        <w:tc>
          <w:tcPr>
            <w:tcW w:w="1271" w:type="dxa"/>
            <w:noWrap/>
            <w:vAlign w:val="center"/>
            <w:hideMark/>
          </w:tcPr>
          <w:p w14:paraId="22C560B2" w14:textId="21F0573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2016</w:t>
            </w:r>
          </w:p>
        </w:tc>
        <w:tc>
          <w:tcPr>
            <w:tcW w:w="1590" w:type="dxa"/>
            <w:noWrap/>
            <w:vAlign w:val="center"/>
            <w:hideMark/>
          </w:tcPr>
          <w:p w14:paraId="091B59C5" w14:textId="36BB6F02"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Pruebas</w:t>
            </w:r>
          </w:p>
        </w:tc>
        <w:tc>
          <w:tcPr>
            <w:tcW w:w="1680" w:type="dxa"/>
            <w:noWrap/>
            <w:vAlign w:val="center"/>
            <w:hideMark/>
          </w:tcPr>
          <w:p w14:paraId="794F8A84" w14:textId="35BE590D" w:rsidR="00041A77" w:rsidRPr="00041A77" w:rsidRDefault="44B12B35" w:rsidP="0D319830">
            <w:pPr>
              <w:jc w:val="center"/>
            </w:pPr>
            <w:r w:rsidRPr="0D319830">
              <w:rPr>
                <w:rFonts w:ascii="Work Sans" w:eastAsia="Times New Roman" w:hAnsi="Work Sans" w:cs="Calibri"/>
                <w:color w:val="000000" w:themeColor="text1"/>
                <w:sz w:val="18"/>
                <w:szCs w:val="18"/>
                <w:lang w:eastAsia="es-CO"/>
              </w:rPr>
              <w:t>Guajira 1</w:t>
            </w:r>
          </w:p>
        </w:tc>
        <w:tc>
          <w:tcPr>
            <w:tcW w:w="1124" w:type="dxa"/>
            <w:noWrap/>
            <w:vAlign w:val="center"/>
            <w:hideMark/>
          </w:tcPr>
          <w:p w14:paraId="7B81F3BE"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ISAGEN</w:t>
            </w:r>
          </w:p>
        </w:tc>
        <w:tc>
          <w:tcPr>
            <w:tcW w:w="1546" w:type="dxa"/>
            <w:noWrap/>
            <w:vAlign w:val="center"/>
            <w:hideMark/>
          </w:tcPr>
          <w:p w14:paraId="57C4C03B"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20F7219" w14:textId="64E3575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w:t>
            </w:r>
          </w:p>
        </w:tc>
        <w:tc>
          <w:tcPr>
            <w:tcW w:w="1560" w:type="dxa"/>
            <w:noWrap/>
            <w:vAlign w:val="center"/>
            <w:hideMark/>
          </w:tcPr>
          <w:p w14:paraId="1598FAAF" w14:textId="4A29DCE0"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613E8132" w14:textId="562F60DB" w:rsidR="00107506" w:rsidRDefault="0010750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Se encuentra en estado de pruebas.</w:t>
            </w:r>
          </w:p>
          <w:p w14:paraId="01F5477E" w14:textId="5E448B9D" w:rsidR="00107506" w:rsidRDefault="00107506" w:rsidP="0D319830">
            <w:pPr>
              <w:jc w:val="center"/>
              <w:rPr>
                <w:rFonts w:ascii="Work Sans" w:eastAsia="Times New Roman" w:hAnsi="Work Sans" w:cs="Calibri"/>
                <w:color w:val="000000" w:themeColor="text1"/>
                <w:sz w:val="18"/>
                <w:szCs w:val="18"/>
                <w:lang w:eastAsia="es-CO"/>
              </w:rPr>
            </w:pPr>
          </w:p>
          <w:p w14:paraId="61E62159" w14:textId="7549D842" w:rsidR="0D319830" w:rsidRDefault="00857845"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No puede entrar en operación porque </w:t>
            </w:r>
            <w:r w:rsidR="00C456BF" w:rsidRPr="00C456BF">
              <w:rPr>
                <w:rFonts w:ascii="Work Sans" w:eastAsia="Times New Roman" w:hAnsi="Work Sans" w:cs="Calibri"/>
                <w:color w:val="000000" w:themeColor="text1"/>
                <w:sz w:val="18"/>
                <w:szCs w:val="18"/>
                <w:lang w:eastAsia="es-CO"/>
              </w:rPr>
              <w:t>continúan con el cumplimiento de la Res</w:t>
            </w:r>
            <w:r w:rsidR="00C456BF">
              <w:rPr>
                <w:rFonts w:ascii="Work Sans" w:eastAsia="Times New Roman" w:hAnsi="Work Sans" w:cs="Calibri"/>
                <w:color w:val="000000" w:themeColor="text1"/>
                <w:sz w:val="18"/>
                <w:szCs w:val="18"/>
                <w:lang w:eastAsia="es-CO"/>
              </w:rPr>
              <w:t>olución CREG</w:t>
            </w:r>
            <w:r w:rsidR="00C456BF" w:rsidRPr="00C456BF">
              <w:rPr>
                <w:rFonts w:ascii="Work Sans" w:eastAsia="Times New Roman" w:hAnsi="Work Sans" w:cs="Calibri"/>
                <w:color w:val="000000" w:themeColor="text1"/>
                <w:sz w:val="18"/>
                <w:szCs w:val="18"/>
                <w:lang w:eastAsia="es-CO"/>
              </w:rPr>
              <w:t xml:space="preserve"> 060 de 2019.</w:t>
            </w:r>
          </w:p>
          <w:p w14:paraId="3AE8F577" w14:textId="5275166C" w:rsidR="000B0869" w:rsidRDefault="000B0869" w:rsidP="0D319830">
            <w:pPr>
              <w:jc w:val="center"/>
              <w:rPr>
                <w:rFonts w:ascii="Work Sans" w:eastAsia="Times New Roman" w:hAnsi="Work Sans" w:cs="Calibri"/>
                <w:color w:val="000000" w:themeColor="text1"/>
                <w:sz w:val="18"/>
                <w:szCs w:val="18"/>
                <w:lang w:eastAsia="es-CO"/>
              </w:rPr>
            </w:pPr>
          </w:p>
          <w:p w14:paraId="57777FE1" w14:textId="6720A0E9" w:rsidR="000B0869" w:rsidRDefault="000B0869"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w:t>
            </w:r>
            <w:r w:rsidR="002B1CFD">
              <w:rPr>
                <w:rFonts w:ascii="Work Sans" w:eastAsia="Times New Roman" w:hAnsi="Work Sans" w:cs="Calibri"/>
                <w:color w:val="000000" w:themeColor="text1"/>
                <w:sz w:val="18"/>
                <w:szCs w:val="18"/>
                <w:lang w:eastAsia="es-CO"/>
              </w:rPr>
              <w:t>V, con conexión temporal</w:t>
            </w:r>
            <w:r w:rsidR="00303A03">
              <w:rPr>
                <w:rFonts w:ascii="Work Sans" w:eastAsia="Times New Roman" w:hAnsi="Work Sans" w:cs="Calibri"/>
                <w:color w:val="000000" w:themeColor="text1"/>
                <w:sz w:val="18"/>
                <w:szCs w:val="18"/>
                <w:lang w:eastAsia="es-CO"/>
              </w:rPr>
              <w:t>.</w:t>
            </w:r>
          </w:p>
        </w:tc>
      </w:tr>
      <w:tr w:rsidR="002274D9" w:rsidRPr="002274D9" w14:paraId="0E3B42F6" w14:textId="77777777" w:rsidTr="00F97D14">
        <w:trPr>
          <w:trHeight w:val="300"/>
        </w:trPr>
        <w:tc>
          <w:tcPr>
            <w:tcW w:w="1271" w:type="dxa"/>
            <w:noWrap/>
            <w:vAlign w:val="center"/>
            <w:hideMark/>
          </w:tcPr>
          <w:p w14:paraId="29F29433" w14:textId="24D8ADC2"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5A2C33E7" w14:textId="28B662CF"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CD01AC7" w14:textId="085B13CB" w:rsidR="00041A77" w:rsidRPr="00041A77" w:rsidRDefault="0D524215" w:rsidP="0D319830">
            <w:pPr>
              <w:jc w:val="center"/>
            </w:pPr>
            <w:r w:rsidRPr="0D319830">
              <w:rPr>
                <w:rFonts w:ascii="Work Sans" w:eastAsia="Times New Roman" w:hAnsi="Work Sans" w:cs="Calibri"/>
                <w:color w:val="000000" w:themeColor="text1"/>
                <w:sz w:val="18"/>
                <w:szCs w:val="18"/>
                <w:lang w:eastAsia="es-CO"/>
              </w:rPr>
              <w:t>Ipapure EO200i</w:t>
            </w:r>
          </w:p>
        </w:tc>
        <w:tc>
          <w:tcPr>
            <w:tcW w:w="1124" w:type="dxa"/>
            <w:noWrap/>
            <w:vAlign w:val="center"/>
            <w:hideMark/>
          </w:tcPr>
          <w:p w14:paraId="06A039C9"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EPM</w:t>
            </w:r>
          </w:p>
        </w:tc>
        <w:tc>
          <w:tcPr>
            <w:tcW w:w="1546" w:type="dxa"/>
            <w:noWrap/>
            <w:vAlign w:val="center"/>
            <w:hideMark/>
          </w:tcPr>
          <w:p w14:paraId="58A7F139"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DDDFD16" w14:textId="69BAA07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w:t>
            </w:r>
          </w:p>
        </w:tc>
        <w:tc>
          <w:tcPr>
            <w:tcW w:w="1560" w:type="dxa"/>
            <w:noWrap/>
            <w:vAlign w:val="center"/>
            <w:hideMark/>
          </w:tcPr>
          <w:p w14:paraId="0843059E" w14:textId="28C0E8F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64973109" w14:textId="77777777" w:rsidR="00272F30" w:rsidRDefault="00272F30"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34AAF877" w14:textId="77777777" w:rsidR="00272F30" w:rsidRDefault="00272F30" w:rsidP="0D319830">
            <w:pPr>
              <w:jc w:val="center"/>
              <w:rPr>
                <w:rFonts w:ascii="Work Sans" w:eastAsia="Times New Roman" w:hAnsi="Work Sans" w:cs="Calibri"/>
                <w:color w:val="000000" w:themeColor="text1"/>
                <w:sz w:val="18"/>
                <w:szCs w:val="18"/>
                <w:lang w:eastAsia="es-CO"/>
              </w:rPr>
            </w:pPr>
          </w:p>
          <w:p w14:paraId="7D0D5B96" w14:textId="351D4A0E" w:rsidR="0D319830" w:rsidRDefault="00DC3D3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Avanza en estudios y licenciamiento de la línea de conexión</w:t>
            </w:r>
            <w:r w:rsidR="003D7ECB">
              <w:rPr>
                <w:rFonts w:ascii="Work Sans" w:eastAsia="Times New Roman" w:hAnsi="Work Sans" w:cs="Calibri"/>
                <w:color w:val="000000" w:themeColor="text1"/>
                <w:sz w:val="18"/>
                <w:szCs w:val="18"/>
                <w:lang w:eastAsia="es-CO"/>
              </w:rPr>
              <w:t>.</w:t>
            </w:r>
          </w:p>
          <w:p w14:paraId="2890A8EB" w14:textId="6D7BE48C" w:rsidR="002B1CFD" w:rsidRDefault="002B1CFD" w:rsidP="0D319830">
            <w:pPr>
              <w:jc w:val="center"/>
              <w:rPr>
                <w:rFonts w:ascii="Work Sans" w:eastAsia="Times New Roman" w:hAnsi="Work Sans" w:cs="Calibri"/>
                <w:color w:val="000000" w:themeColor="text1"/>
                <w:sz w:val="18"/>
                <w:szCs w:val="18"/>
                <w:lang w:eastAsia="es-CO"/>
              </w:rPr>
            </w:pPr>
          </w:p>
          <w:p w14:paraId="7F759374" w14:textId="1ADA6F16"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15E711BB" w14:textId="77777777" w:rsidTr="00F97D14">
        <w:trPr>
          <w:trHeight w:val="300"/>
        </w:trPr>
        <w:tc>
          <w:tcPr>
            <w:tcW w:w="1271" w:type="dxa"/>
            <w:noWrap/>
            <w:vAlign w:val="center"/>
            <w:hideMark/>
          </w:tcPr>
          <w:p w14:paraId="12849290" w14:textId="46670D4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02F764D3" w14:textId="27F01085"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7E3A334" w14:textId="05B5B52B" w:rsidR="00041A77" w:rsidRPr="00041A77" w:rsidRDefault="056F3075" w:rsidP="0D319830">
            <w:pPr>
              <w:jc w:val="center"/>
            </w:pPr>
            <w:r w:rsidRPr="0D319830">
              <w:rPr>
                <w:rFonts w:ascii="Work Sans" w:eastAsia="Times New Roman" w:hAnsi="Work Sans" w:cs="Calibri"/>
                <w:color w:val="000000" w:themeColor="text1"/>
                <w:sz w:val="18"/>
                <w:szCs w:val="18"/>
                <w:lang w:eastAsia="es-CO"/>
              </w:rPr>
              <w:t>JK1</w:t>
            </w:r>
          </w:p>
        </w:tc>
        <w:tc>
          <w:tcPr>
            <w:tcW w:w="1124" w:type="dxa"/>
            <w:noWrap/>
            <w:vAlign w:val="center"/>
            <w:hideMark/>
          </w:tcPr>
          <w:p w14:paraId="22F8F6B5" w14:textId="77777777" w:rsidR="00041A77" w:rsidRPr="00041A77" w:rsidRDefault="0A603170"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AES</w:t>
            </w:r>
          </w:p>
        </w:tc>
        <w:tc>
          <w:tcPr>
            <w:tcW w:w="1546" w:type="dxa"/>
            <w:noWrap/>
            <w:vAlign w:val="center"/>
            <w:hideMark/>
          </w:tcPr>
          <w:p w14:paraId="336E82A3"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19663AF" w14:textId="7CE2EEE9"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180</w:t>
            </w:r>
          </w:p>
        </w:tc>
        <w:tc>
          <w:tcPr>
            <w:tcW w:w="1560" w:type="dxa"/>
            <w:noWrap/>
            <w:vAlign w:val="center"/>
            <w:hideMark/>
          </w:tcPr>
          <w:p w14:paraId="717AFA73" w14:textId="18A172FC"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45D19B05" w14:textId="593A928A" w:rsidR="0D319830" w:rsidRDefault="00C6134A"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Con licencia ambiental</w:t>
            </w:r>
            <w:r w:rsidR="002B1CFD">
              <w:rPr>
                <w:rFonts w:ascii="Work Sans" w:eastAsia="Times New Roman" w:hAnsi="Work Sans" w:cs="Calibri"/>
                <w:color w:val="000000" w:themeColor="text1"/>
                <w:sz w:val="18"/>
                <w:szCs w:val="18"/>
                <w:lang w:eastAsia="es-CO"/>
              </w:rPr>
              <w:t>.</w:t>
            </w:r>
          </w:p>
          <w:p w14:paraId="2A07C41E" w14:textId="08E30394" w:rsidR="002B1CFD" w:rsidRDefault="002B1CFD" w:rsidP="0D319830">
            <w:pPr>
              <w:jc w:val="center"/>
              <w:rPr>
                <w:rFonts w:ascii="Work Sans" w:eastAsia="Times New Roman" w:hAnsi="Work Sans" w:cs="Calibri"/>
                <w:color w:val="000000" w:themeColor="text1"/>
                <w:sz w:val="18"/>
                <w:szCs w:val="18"/>
                <w:lang w:eastAsia="es-CO"/>
              </w:rPr>
            </w:pPr>
          </w:p>
          <w:p w14:paraId="1BB4A3DE" w14:textId="69987566"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6AF748B5" w14:textId="77777777" w:rsidTr="00F97D14">
        <w:trPr>
          <w:trHeight w:val="300"/>
        </w:trPr>
        <w:tc>
          <w:tcPr>
            <w:tcW w:w="1271" w:type="dxa"/>
            <w:noWrap/>
            <w:vAlign w:val="center"/>
            <w:hideMark/>
          </w:tcPr>
          <w:p w14:paraId="5C9FE176" w14:textId="135AADED"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7C996459" w14:textId="5E7E9DC0"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23ABAD89" w14:textId="3949D24A" w:rsidR="00041A77" w:rsidRPr="00041A77" w:rsidRDefault="54D15EF5" w:rsidP="0D319830">
            <w:pPr>
              <w:jc w:val="center"/>
            </w:pPr>
            <w:r w:rsidRPr="0D319830">
              <w:rPr>
                <w:rFonts w:ascii="Work Sans" w:eastAsia="Times New Roman" w:hAnsi="Work Sans" w:cs="Calibri"/>
                <w:color w:val="000000" w:themeColor="text1"/>
                <w:sz w:val="18"/>
                <w:szCs w:val="18"/>
                <w:lang w:eastAsia="es-CO"/>
              </w:rPr>
              <w:t>JK2</w:t>
            </w:r>
          </w:p>
        </w:tc>
        <w:tc>
          <w:tcPr>
            <w:tcW w:w="1124" w:type="dxa"/>
            <w:noWrap/>
            <w:vAlign w:val="center"/>
            <w:hideMark/>
          </w:tcPr>
          <w:p w14:paraId="0C2D1659" w14:textId="2E9B2721" w:rsidR="00041A77" w:rsidRPr="00041A77" w:rsidRDefault="2DC31DDF"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12E08A48"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4B259E82" w14:textId="44DD949C"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75</w:t>
            </w:r>
          </w:p>
        </w:tc>
        <w:tc>
          <w:tcPr>
            <w:tcW w:w="1560" w:type="dxa"/>
            <w:noWrap/>
            <w:vAlign w:val="center"/>
            <w:hideMark/>
          </w:tcPr>
          <w:p w14:paraId="7D3EBD76" w14:textId="2CDA781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5D32AE36" w14:textId="4B32962A"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Con licencia ambiental</w:t>
            </w:r>
            <w:r w:rsidR="002B1CFD">
              <w:rPr>
                <w:rFonts w:ascii="Work Sans" w:eastAsia="Times New Roman" w:hAnsi="Work Sans" w:cs="Calibri"/>
                <w:color w:val="000000" w:themeColor="text1"/>
                <w:sz w:val="18"/>
                <w:szCs w:val="18"/>
                <w:lang w:eastAsia="es-CO"/>
              </w:rPr>
              <w:t>.</w:t>
            </w:r>
          </w:p>
          <w:p w14:paraId="7886B0BD" w14:textId="0E89E7A8" w:rsidR="002B1CFD" w:rsidRDefault="002B1CFD" w:rsidP="0D319830">
            <w:pPr>
              <w:jc w:val="center"/>
              <w:rPr>
                <w:rFonts w:ascii="Work Sans" w:eastAsia="Times New Roman" w:hAnsi="Work Sans" w:cs="Calibri"/>
                <w:color w:val="000000" w:themeColor="text1"/>
                <w:sz w:val="18"/>
                <w:szCs w:val="18"/>
                <w:lang w:eastAsia="es-CO"/>
              </w:rPr>
            </w:pPr>
          </w:p>
          <w:p w14:paraId="74382714" w14:textId="339B6CF4"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623BC086" w14:textId="77777777" w:rsidTr="00F97D14">
        <w:trPr>
          <w:trHeight w:val="300"/>
        </w:trPr>
        <w:tc>
          <w:tcPr>
            <w:tcW w:w="1271" w:type="dxa"/>
            <w:noWrap/>
            <w:vAlign w:val="center"/>
            <w:hideMark/>
          </w:tcPr>
          <w:p w14:paraId="2BAD36E0" w14:textId="62126A3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2F1EF13D" w14:textId="6F56B45A"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51197E09" w14:textId="3A44493E" w:rsidR="00041A77" w:rsidRPr="00041A77" w:rsidRDefault="3D9BE275" w:rsidP="0D319830">
            <w:pPr>
              <w:jc w:val="center"/>
            </w:pPr>
            <w:r w:rsidRPr="0D319830">
              <w:rPr>
                <w:rFonts w:ascii="Work Sans" w:eastAsia="Times New Roman" w:hAnsi="Work Sans" w:cs="Calibri"/>
                <w:color w:val="000000" w:themeColor="text1"/>
                <w:sz w:val="18"/>
                <w:szCs w:val="18"/>
                <w:lang w:eastAsia="es-CO"/>
              </w:rPr>
              <w:t>JK3</w:t>
            </w:r>
          </w:p>
        </w:tc>
        <w:tc>
          <w:tcPr>
            <w:tcW w:w="1124" w:type="dxa"/>
            <w:noWrap/>
            <w:vAlign w:val="center"/>
            <w:hideMark/>
          </w:tcPr>
          <w:p w14:paraId="5A05070B" w14:textId="79D65587" w:rsidR="00041A77" w:rsidRPr="00041A77" w:rsidRDefault="4FD22ECB"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36B2BF8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026A3EDE" w14:textId="0EECB30B"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99</w:t>
            </w:r>
          </w:p>
        </w:tc>
        <w:tc>
          <w:tcPr>
            <w:tcW w:w="1560" w:type="dxa"/>
            <w:noWrap/>
            <w:vAlign w:val="center"/>
            <w:hideMark/>
          </w:tcPr>
          <w:p w14:paraId="40FA6D31" w14:textId="32183BE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4C5FF2BD" w14:textId="38534D91"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etapa de estudio ambiental, consultas previas y licenciamientos</w:t>
            </w:r>
            <w:r w:rsidR="002B1CFD">
              <w:rPr>
                <w:rFonts w:ascii="Work Sans" w:eastAsia="Times New Roman" w:hAnsi="Work Sans" w:cs="Calibri"/>
                <w:color w:val="000000" w:themeColor="text1"/>
                <w:sz w:val="18"/>
                <w:szCs w:val="18"/>
                <w:lang w:eastAsia="es-CO"/>
              </w:rPr>
              <w:t>.</w:t>
            </w:r>
          </w:p>
          <w:p w14:paraId="72930789" w14:textId="632935EE" w:rsidR="002B1CFD" w:rsidRDefault="002B1CFD" w:rsidP="0D319830">
            <w:pPr>
              <w:jc w:val="center"/>
              <w:rPr>
                <w:rFonts w:ascii="Work Sans" w:eastAsia="Times New Roman" w:hAnsi="Work Sans" w:cs="Calibri"/>
                <w:color w:val="000000" w:themeColor="text1"/>
                <w:sz w:val="18"/>
                <w:szCs w:val="18"/>
                <w:lang w:eastAsia="es-CO"/>
              </w:rPr>
            </w:pPr>
          </w:p>
          <w:p w14:paraId="0A9A7223" w14:textId="315FD3F8"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282C6695" w14:textId="77777777" w:rsidTr="00F97D14">
        <w:trPr>
          <w:trHeight w:val="300"/>
        </w:trPr>
        <w:tc>
          <w:tcPr>
            <w:tcW w:w="1271" w:type="dxa"/>
            <w:noWrap/>
            <w:vAlign w:val="center"/>
            <w:hideMark/>
          </w:tcPr>
          <w:p w14:paraId="2955CFB7" w14:textId="24D8008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5C0E5CB2" w14:textId="4691BEF4"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2E0701DD" w14:textId="43DAC9E3" w:rsidR="00041A77" w:rsidRPr="00041A77" w:rsidRDefault="68E75D6D" w:rsidP="0D319830">
            <w:pPr>
              <w:jc w:val="center"/>
            </w:pPr>
            <w:r w:rsidRPr="0D319830">
              <w:rPr>
                <w:rFonts w:ascii="Work Sans" w:eastAsia="Times New Roman" w:hAnsi="Work Sans" w:cs="Calibri"/>
                <w:color w:val="000000" w:themeColor="text1"/>
                <w:sz w:val="18"/>
                <w:szCs w:val="18"/>
                <w:lang w:eastAsia="es-CO"/>
              </w:rPr>
              <w:t>JK4</w:t>
            </w:r>
          </w:p>
        </w:tc>
        <w:tc>
          <w:tcPr>
            <w:tcW w:w="1124" w:type="dxa"/>
            <w:noWrap/>
            <w:vAlign w:val="center"/>
            <w:hideMark/>
          </w:tcPr>
          <w:p w14:paraId="5DDF5606" w14:textId="2C8067B8" w:rsidR="00041A77" w:rsidRPr="00041A77" w:rsidRDefault="795F5A10"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3A33F9B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76FEA7A8" w14:textId="479790D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195</w:t>
            </w:r>
          </w:p>
        </w:tc>
        <w:tc>
          <w:tcPr>
            <w:tcW w:w="1560" w:type="dxa"/>
            <w:noWrap/>
            <w:vAlign w:val="center"/>
            <w:hideMark/>
          </w:tcPr>
          <w:p w14:paraId="2272C641" w14:textId="740A9CD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200E8622" w14:textId="62EF33B2"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Finalizado estudio de impacto ambiental y cierre de fase de consultas previas</w:t>
            </w:r>
            <w:r w:rsidR="002B1CFD">
              <w:rPr>
                <w:rFonts w:ascii="Work Sans" w:eastAsia="Times New Roman" w:hAnsi="Work Sans" w:cs="Calibri"/>
                <w:color w:val="000000" w:themeColor="text1"/>
                <w:sz w:val="18"/>
                <w:szCs w:val="18"/>
                <w:lang w:eastAsia="es-CO"/>
              </w:rPr>
              <w:t>.</w:t>
            </w:r>
          </w:p>
          <w:p w14:paraId="774ABB72" w14:textId="7684F400" w:rsidR="002B1CFD" w:rsidRDefault="002B1CFD" w:rsidP="0D319830">
            <w:pPr>
              <w:jc w:val="center"/>
              <w:rPr>
                <w:rFonts w:ascii="Work Sans" w:eastAsia="Times New Roman" w:hAnsi="Work Sans" w:cs="Calibri"/>
                <w:color w:val="000000" w:themeColor="text1"/>
                <w:sz w:val="18"/>
                <w:szCs w:val="18"/>
                <w:lang w:eastAsia="es-CO"/>
              </w:rPr>
            </w:pPr>
          </w:p>
          <w:p w14:paraId="67548C7E" w14:textId="05670531"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32F5AA98" w14:textId="77777777" w:rsidTr="00F97D14">
        <w:trPr>
          <w:trHeight w:val="300"/>
        </w:trPr>
        <w:tc>
          <w:tcPr>
            <w:tcW w:w="1271" w:type="dxa"/>
            <w:noWrap/>
            <w:vAlign w:val="center"/>
            <w:hideMark/>
          </w:tcPr>
          <w:p w14:paraId="4A683A18" w14:textId="0A27D07B"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1B898E0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Indeterminado</w:t>
            </w:r>
          </w:p>
        </w:tc>
        <w:tc>
          <w:tcPr>
            <w:tcW w:w="1680" w:type="dxa"/>
            <w:noWrap/>
            <w:vAlign w:val="center"/>
            <w:hideMark/>
          </w:tcPr>
          <w:p w14:paraId="07196354" w14:textId="0F0AAAD3" w:rsidR="00041A77" w:rsidRPr="00041A77" w:rsidRDefault="4A8FD5FA" w:rsidP="0D319830">
            <w:pPr>
              <w:jc w:val="center"/>
            </w:pPr>
            <w:r w:rsidRPr="0D319830">
              <w:rPr>
                <w:rFonts w:ascii="Work Sans" w:eastAsia="Times New Roman" w:hAnsi="Work Sans" w:cs="Calibri"/>
                <w:color w:val="000000" w:themeColor="text1"/>
                <w:sz w:val="18"/>
                <w:szCs w:val="18"/>
                <w:lang w:eastAsia="es-CO"/>
              </w:rPr>
              <w:t>Tumawind</w:t>
            </w:r>
          </w:p>
        </w:tc>
        <w:tc>
          <w:tcPr>
            <w:tcW w:w="1124" w:type="dxa"/>
            <w:noWrap/>
            <w:vAlign w:val="center"/>
            <w:hideMark/>
          </w:tcPr>
          <w:p w14:paraId="7404525F" w14:textId="13F4FD14" w:rsidR="00041A77" w:rsidRPr="00041A77" w:rsidRDefault="6A844505" w:rsidP="0D319830">
            <w:pPr>
              <w:jc w:val="center"/>
            </w:pPr>
            <w:r w:rsidRPr="0D319830">
              <w:rPr>
                <w:rFonts w:ascii="Work Sans" w:eastAsia="Times New Roman" w:hAnsi="Work Sans" w:cs="Calibri"/>
                <w:color w:val="000000" w:themeColor="text1"/>
                <w:sz w:val="18"/>
                <w:szCs w:val="18"/>
                <w:lang w:eastAsia="es-CO"/>
              </w:rPr>
              <w:t>ENEL</w:t>
            </w:r>
          </w:p>
        </w:tc>
        <w:tc>
          <w:tcPr>
            <w:tcW w:w="1546" w:type="dxa"/>
            <w:noWrap/>
            <w:vAlign w:val="center"/>
            <w:hideMark/>
          </w:tcPr>
          <w:p w14:paraId="7479111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63915F58" w14:textId="3A7A18A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5B03919A" w14:textId="4E478E5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3AB14383" w14:textId="0B7FFF0A" w:rsidR="0D319830" w:rsidRDefault="00263E4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Fase inicial de desarrollo</w:t>
            </w:r>
            <w:r w:rsidR="002B1CFD">
              <w:rPr>
                <w:rFonts w:ascii="Work Sans" w:eastAsia="Times New Roman" w:hAnsi="Work Sans" w:cs="Calibri"/>
                <w:color w:val="000000" w:themeColor="text1"/>
                <w:sz w:val="18"/>
                <w:szCs w:val="18"/>
                <w:lang w:eastAsia="es-CO"/>
              </w:rPr>
              <w:t>.</w:t>
            </w:r>
          </w:p>
          <w:p w14:paraId="4AFC7696" w14:textId="3D3EDCF1" w:rsidR="002B1CFD" w:rsidRDefault="002B1CFD" w:rsidP="0D319830">
            <w:pPr>
              <w:jc w:val="center"/>
              <w:rPr>
                <w:rFonts w:ascii="Work Sans" w:eastAsia="Times New Roman" w:hAnsi="Work Sans" w:cs="Calibri"/>
                <w:color w:val="000000" w:themeColor="text1"/>
                <w:sz w:val="18"/>
                <w:szCs w:val="18"/>
                <w:lang w:eastAsia="es-CO"/>
              </w:rPr>
            </w:pPr>
          </w:p>
          <w:p w14:paraId="2F042A6B" w14:textId="06214678"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3F85E368" w14:textId="77777777" w:rsidTr="00F97D14">
        <w:trPr>
          <w:trHeight w:val="300"/>
        </w:trPr>
        <w:tc>
          <w:tcPr>
            <w:tcW w:w="1271" w:type="dxa"/>
            <w:noWrap/>
            <w:vAlign w:val="center"/>
            <w:hideMark/>
          </w:tcPr>
          <w:p w14:paraId="159E6768" w14:textId="6D06C9E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78F1C09E" w14:textId="471F71A5"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D77644F" w14:textId="0436FCDA" w:rsidR="00041A77" w:rsidRPr="00041A77" w:rsidRDefault="026FC7A5" w:rsidP="0D319830">
            <w:pPr>
              <w:jc w:val="center"/>
            </w:pPr>
            <w:r w:rsidRPr="0D319830">
              <w:rPr>
                <w:rFonts w:ascii="Work Sans" w:eastAsia="Times New Roman" w:hAnsi="Work Sans" w:cs="Calibri"/>
                <w:color w:val="000000" w:themeColor="text1"/>
                <w:sz w:val="18"/>
                <w:szCs w:val="18"/>
                <w:lang w:eastAsia="es-CO"/>
              </w:rPr>
              <w:t>Chemesky</w:t>
            </w:r>
          </w:p>
        </w:tc>
        <w:tc>
          <w:tcPr>
            <w:tcW w:w="1124" w:type="dxa"/>
            <w:noWrap/>
            <w:vAlign w:val="center"/>
            <w:hideMark/>
          </w:tcPr>
          <w:p w14:paraId="18500EBB" w14:textId="77777777" w:rsidR="00041A77" w:rsidRPr="00041A77" w:rsidRDefault="14308E42"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ENEL</w:t>
            </w:r>
          </w:p>
        </w:tc>
        <w:tc>
          <w:tcPr>
            <w:tcW w:w="1546" w:type="dxa"/>
            <w:noWrap/>
            <w:vAlign w:val="center"/>
            <w:hideMark/>
          </w:tcPr>
          <w:p w14:paraId="2A63203A"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7D827C3" w14:textId="7A038AF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100</w:t>
            </w:r>
          </w:p>
        </w:tc>
        <w:tc>
          <w:tcPr>
            <w:tcW w:w="1560" w:type="dxa"/>
            <w:noWrap/>
            <w:vAlign w:val="center"/>
            <w:hideMark/>
          </w:tcPr>
          <w:p w14:paraId="7A7A43BF" w14:textId="2BACE7E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BOLÍVAR</w:t>
            </w:r>
          </w:p>
        </w:tc>
        <w:tc>
          <w:tcPr>
            <w:tcW w:w="3123" w:type="dxa"/>
            <w:vAlign w:val="center"/>
          </w:tcPr>
          <w:p w14:paraId="0E1B931C" w14:textId="028806DB" w:rsidR="0D319830" w:rsidRDefault="00954FFE"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Fase inicial de desarrollo</w:t>
            </w:r>
          </w:p>
        </w:tc>
      </w:tr>
      <w:tr w:rsidR="002274D9" w:rsidRPr="002274D9" w14:paraId="223ED080" w14:textId="77777777" w:rsidTr="00F97D14">
        <w:trPr>
          <w:trHeight w:val="300"/>
        </w:trPr>
        <w:tc>
          <w:tcPr>
            <w:tcW w:w="1271" w:type="dxa"/>
            <w:noWrap/>
            <w:vAlign w:val="center"/>
            <w:hideMark/>
          </w:tcPr>
          <w:p w14:paraId="0E71F1B7" w14:textId="5432DD8F"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4452A04B" w14:textId="18C8AC7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Pruebas</w:t>
            </w:r>
          </w:p>
        </w:tc>
        <w:tc>
          <w:tcPr>
            <w:tcW w:w="1680" w:type="dxa"/>
            <w:noWrap/>
            <w:vAlign w:val="center"/>
            <w:hideMark/>
          </w:tcPr>
          <w:p w14:paraId="30DC3A88" w14:textId="49CA0535" w:rsidR="00041A77" w:rsidRPr="00041A77" w:rsidRDefault="2CC60E3B"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WESP 01</w:t>
            </w:r>
          </w:p>
        </w:tc>
        <w:tc>
          <w:tcPr>
            <w:tcW w:w="1124" w:type="dxa"/>
            <w:noWrap/>
            <w:vAlign w:val="center"/>
            <w:hideMark/>
          </w:tcPr>
          <w:p w14:paraId="0BBE52B8"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ISAGEN</w:t>
            </w:r>
          </w:p>
        </w:tc>
        <w:tc>
          <w:tcPr>
            <w:tcW w:w="1546" w:type="dxa"/>
            <w:noWrap/>
            <w:vAlign w:val="center"/>
            <w:hideMark/>
          </w:tcPr>
          <w:p w14:paraId="5C5BE85B"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4CEDD4A2" w14:textId="563D6B57"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12</w:t>
            </w:r>
          </w:p>
        </w:tc>
        <w:tc>
          <w:tcPr>
            <w:tcW w:w="1560" w:type="dxa"/>
            <w:noWrap/>
            <w:vAlign w:val="center"/>
            <w:hideMark/>
          </w:tcPr>
          <w:p w14:paraId="5B032211" w14:textId="7825C060"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7F33004E" w14:textId="3FAEC2F1" w:rsidR="0D319830" w:rsidRDefault="0010750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Se encuentra en estado de pruebas</w:t>
            </w:r>
            <w:r w:rsidR="003D7ECB">
              <w:rPr>
                <w:rFonts w:ascii="Work Sans" w:eastAsia="Times New Roman" w:hAnsi="Work Sans" w:cs="Calibri"/>
                <w:color w:val="000000" w:themeColor="text1"/>
                <w:sz w:val="18"/>
                <w:szCs w:val="18"/>
                <w:lang w:eastAsia="es-CO"/>
              </w:rPr>
              <w:t>.</w:t>
            </w:r>
          </w:p>
          <w:p w14:paraId="258BF5B4" w14:textId="53EDF3AB" w:rsidR="008568AC" w:rsidRDefault="008568AC" w:rsidP="0D319830">
            <w:pPr>
              <w:jc w:val="center"/>
              <w:rPr>
                <w:rFonts w:ascii="Work Sans" w:eastAsia="Times New Roman" w:hAnsi="Work Sans" w:cs="Calibri"/>
                <w:color w:val="000000" w:themeColor="text1"/>
                <w:sz w:val="18"/>
                <w:szCs w:val="18"/>
                <w:lang w:eastAsia="es-CO"/>
              </w:rPr>
            </w:pPr>
          </w:p>
          <w:p w14:paraId="131F75C3" w14:textId="280900F3" w:rsidR="008568AC" w:rsidRDefault="008568AC"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No puede entrar en operación porque </w:t>
            </w:r>
            <w:r w:rsidRPr="00C456BF">
              <w:rPr>
                <w:rFonts w:ascii="Work Sans" w:eastAsia="Times New Roman" w:hAnsi="Work Sans" w:cs="Calibri"/>
                <w:color w:val="000000" w:themeColor="text1"/>
                <w:sz w:val="18"/>
                <w:szCs w:val="18"/>
                <w:lang w:eastAsia="es-CO"/>
              </w:rPr>
              <w:t>continúan con el cumplimiento de la Res</w:t>
            </w:r>
            <w:r>
              <w:rPr>
                <w:rFonts w:ascii="Work Sans" w:eastAsia="Times New Roman" w:hAnsi="Work Sans" w:cs="Calibri"/>
                <w:color w:val="000000" w:themeColor="text1"/>
                <w:sz w:val="18"/>
                <w:szCs w:val="18"/>
                <w:lang w:eastAsia="es-CO"/>
              </w:rPr>
              <w:t>olución CREG</w:t>
            </w:r>
            <w:r w:rsidRPr="00C456BF">
              <w:rPr>
                <w:rFonts w:ascii="Work Sans" w:eastAsia="Times New Roman" w:hAnsi="Work Sans" w:cs="Calibri"/>
                <w:color w:val="000000" w:themeColor="text1"/>
                <w:sz w:val="18"/>
                <w:szCs w:val="18"/>
                <w:lang w:eastAsia="es-CO"/>
              </w:rPr>
              <w:t xml:space="preserve"> 060 de 2019.</w:t>
            </w:r>
          </w:p>
        </w:tc>
      </w:tr>
      <w:tr w:rsidR="002274D9" w:rsidRPr="002274D9" w14:paraId="20D42F39" w14:textId="77777777" w:rsidTr="00F97D14">
        <w:trPr>
          <w:trHeight w:val="300"/>
        </w:trPr>
        <w:tc>
          <w:tcPr>
            <w:tcW w:w="1271" w:type="dxa"/>
            <w:noWrap/>
            <w:vAlign w:val="center"/>
            <w:hideMark/>
          </w:tcPr>
          <w:p w14:paraId="5ED18EAC" w14:textId="7AAAF5E7"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2016</w:t>
            </w:r>
          </w:p>
        </w:tc>
        <w:tc>
          <w:tcPr>
            <w:tcW w:w="1590" w:type="dxa"/>
            <w:noWrap/>
            <w:vAlign w:val="center"/>
            <w:hideMark/>
          </w:tcPr>
          <w:p w14:paraId="285B43F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Indeterminado</w:t>
            </w:r>
          </w:p>
        </w:tc>
        <w:tc>
          <w:tcPr>
            <w:tcW w:w="1680" w:type="dxa"/>
            <w:noWrap/>
            <w:vAlign w:val="center"/>
            <w:hideMark/>
          </w:tcPr>
          <w:p w14:paraId="504B0849" w14:textId="30A82083" w:rsidR="00041A77" w:rsidRPr="00041A77" w:rsidRDefault="49ECEE7B" w:rsidP="0D319830">
            <w:pPr>
              <w:jc w:val="center"/>
              <w:rPr>
                <w:rFonts w:ascii="Work Sans" w:eastAsia="Times New Roman" w:hAnsi="Work Sans" w:cs="Calibri"/>
                <w:color w:val="000000" w:themeColor="text1"/>
                <w:sz w:val="18"/>
                <w:szCs w:val="18"/>
                <w:lang w:eastAsia="es-CO"/>
              </w:rPr>
            </w:pPr>
            <w:r w:rsidRPr="0D319830">
              <w:rPr>
                <w:rFonts w:ascii="Work Sans" w:eastAsia="Times New Roman" w:hAnsi="Work Sans" w:cs="Calibri"/>
                <w:color w:val="000000" w:themeColor="text1"/>
                <w:sz w:val="18"/>
                <w:szCs w:val="18"/>
                <w:lang w:eastAsia="es-CO"/>
              </w:rPr>
              <w:t>Winpeshi</w:t>
            </w:r>
          </w:p>
        </w:tc>
        <w:tc>
          <w:tcPr>
            <w:tcW w:w="1124" w:type="dxa"/>
            <w:noWrap/>
            <w:vAlign w:val="center"/>
            <w:hideMark/>
          </w:tcPr>
          <w:p w14:paraId="6989C324"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ENEL</w:t>
            </w:r>
          </w:p>
        </w:tc>
        <w:tc>
          <w:tcPr>
            <w:tcW w:w="1546" w:type="dxa"/>
            <w:noWrap/>
            <w:vAlign w:val="center"/>
            <w:hideMark/>
          </w:tcPr>
          <w:p w14:paraId="37E02A9E" w14:textId="03693A2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URIBIA </w:t>
            </w:r>
            <w:r w:rsidR="002274D9" w:rsidRPr="00041A77">
              <w:rPr>
                <w:rFonts w:ascii="Work Sans" w:eastAsia="Times New Roman" w:hAnsi="Work Sans" w:cs="Calibri"/>
                <w:color w:val="000000"/>
                <w:kern w:val="0"/>
                <w:sz w:val="18"/>
                <w:szCs w:val="18"/>
                <w:lang w:eastAsia="es-CO"/>
                <w14:ligatures w14:val="none"/>
              </w:rPr>
              <w:t xml:space="preserve">- </w:t>
            </w: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2DCFC4D1" w14:textId="79A38E1A"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16BE6277" w14:textId="343BA43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08403A0C" w14:textId="7FCD0336" w:rsidR="0D319830" w:rsidRDefault="00BC7B45" w:rsidP="00BC7B45">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Suspendido por la empresa según comunicado de mayo del 2023.</w:t>
            </w:r>
          </w:p>
        </w:tc>
      </w:tr>
    </w:tbl>
    <w:p w14:paraId="6AE077AF" w14:textId="23BB7FCA" w:rsidR="009130D5" w:rsidRPr="009130D5" w:rsidRDefault="009130D5" w:rsidP="00F30A72">
      <w:pPr>
        <w:jc w:val="center"/>
        <w:rPr>
          <w:rFonts w:ascii="Work Sans" w:hAnsi="Work Sans"/>
          <w:i/>
          <w:iCs/>
          <w:sz w:val="4"/>
          <w:szCs w:val="4"/>
        </w:rPr>
      </w:pPr>
    </w:p>
    <w:p w14:paraId="555972BE" w14:textId="7349A233" w:rsidR="00F30A72" w:rsidRPr="00DB6010" w:rsidRDefault="00F30A72" w:rsidP="00F30A72">
      <w:pPr>
        <w:jc w:val="center"/>
        <w:rPr>
          <w:rFonts w:ascii="Work Sans" w:hAnsi="Work Sans"/>
        </w:rPr>
      </w:pPr>
      <w:r w:rsidRPr="00DB6010">
        <w:rPr>
          <w:rFonts w:ascii="Work Sans" w:hAnsi="Work Sans"/>
          <w:i/>
          <w:iCs/>
        </w:rPr>
        <w:t xml:space="preserve">Fuente: </w:t>
      </w:r>
      <w:r>
        <w:rPr>
          <w:rFonts w:ascii="Work Sans" w:hAnsi="Work Sans"/>
          <w:i/>
          <w:iCs/>
        </w:rPr>
        <w:t>UPME</w:t>
      </w:r>
    </w:p>
    <w:p w14:paraId="114266A0" w14:textId="77777777" w:rsidR="007E679A" w:rsidRPr="002274D9" w:rsidRDefault="007E679A" w:rsidP="005D32C6">
      <w:pPr>
        <w:rPr>
          <w:rFonts w:ascii="Work Sans" w:hAnsi="Work Sans"/>
        </w:rPr>
        <w:sectPr w:rsidR="007E679A" w:rsidRPr="002274D9" w:rsidSect="007E679A">
          <w:pgSz w:w="15840" w:h="12240" w:orient="landscape"/>
          <w:pgMar w:top="1701" w:right="1418" w:bottom="1701" w:left="1418" w:header="709" w:footer="709" w:gutter="0"/>
          <w:cols w:space="708"/>
          <w:docGrid w:linePitch="360"/>
        </w:sectPr>
      </w:pPr>
    </w:p>
    <w:p w14:paraId="23539150" w14:textId="500D688E" w:rsidR="00A77764" w:rsidRDefault="008C35A9" w:rsidP="00507500">
      <w:pPr>
        <w:jc w:val="both"/>
        <w:rPr>
          <w:rFonts w:ascii="Work Sans" w:hAnsi="Work Sans"/>
        </w:rPr>
      </w:pPr>
      <w:r>
        <w:rPr>
          <w:rFonts w:ascii="Work Sans" w:hAnsi="Work Sans"/>
        </w:rPr>
        <w:t>Retomando lo anteriormente escrito, l</w:t>
      </w:r>
      <w:r w:rsidR="00277A1F" w:rsidRPr="00277A1F">
        <w:rPr>
          <w:rFonts w:ascii="Work Sans" w:hAnsi="Work Sans"/>
        </w:rPr>
        <w:t>a Subestación Colectora 500 kV es un</w:t>
      </w:r>
      <w:r w:rsidR="00253ECC">
        <w:rPr>
          <w:rFonts w:ascii="Work Sans" w:hAnsi="Work Sans"/>
        </w:rPr>
        <w:t xml:space="preserve"> proyecto de infraestructura </w:t>
      </w:r>
      <w:r w:rsidR="00277A1F" w:rsidRPr="00277A1F">
        <w:rPr>
          <w:rFonts w:ascii="Work Sans" w:hAnsi="Work Sans"/>
        </w:rPr>
        <w:t xml:space="preserve">eléctrica </w:t>
      </w:r>
      <w:r w:rsidR="00277A1F" w:rsidRPr="00170115">
        <w:rPr>
          <w:rFonts w:ascii="Work Sans" w:hAnsi="Work Sans"/>
          <w:b/>
          <w:bCs/>
        </w:rPr>
        <w:t>en construcción</w:t>
      </w:r>
      <w:r w:rsidR="00277A1F" w:rsidRPr="00277A1F">
        <w:rPr>
          <w:rFonts w:ascii="Work Sans" w:hAnsi="Work Sans"/>
        </w:rPr>
        <w:t xml:space="preserve"> ubicada en el municipio de Uribia, en el departamento de La Guajira, Colombia. Este proyecto es desarrollado por Enlaza, una filial del Grupo Energía Bogotá (GEB), y forma parte de una iniciativa estratégica para fortalecer el servicio de energía eléctrica en la región norte del país.</w:t>
      </w:r>
    </w:p>
    <w:p w14:paraId="1190B8C6" w14:textId="6B2DF695" w:rsidR="003A6EE5" w:rsidRDefault="00A77764" w:rsidP="00253ECC">
      <w:pPr>
        <w:jc w:val="center"/>
        <w:rPr>
          <w:rFonts w:ascii="Work Sans" w:hAnsi="Work Sans"/>
        </w:rPr>
      </w:pPr>
      <w:r w:rsidRPr="00A77764">
        <w:rPr>
          <w:rFonts w:ascii="Work Sans" w:hAnsi="Work Sans"/>
          <w:noProof/>
        </w:rPr>
        <w:drawing>
          <wp:inline distT="0" distB="0" distL="0" distR="0" wp14:anchorId="62ACDDDD" wp14:editId="0A0F3307">
            <wp:extent cx="3800475" cy="3262616"/>
            <wp:effectExtent l="0" t="0" r="0" b="0"/>
            <wp:docPr id="149291295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03095" cy="3264865"/>
                    </a:xfrm>
                    <a:prstGeom prst="rect">
                      <a:avLst/>
                    </a:prstGeom>
                    <a:noFill/>
                    <a:ln>
                      <a:noFill/>
                    </a:ln>
                  </pic:spPr>
                </pic:pic>
              </a:graphicData>
            </a:graphic>
          </wp:inline>
        </w:drawing>
      </w:r>
    </w:p>
    <w:p w14:paraId="565A1095" w14:textId="77777777" w:rsidR="00253ECC" w:rsidRPr="00253ECC" w:rsidRDefault="00253ECC" w:rsidP="00253ECC">
      <w:pPr>
        <w:rPr>
          <w:rFonts w:ascii="Work Sans" w:hAnsi="Work Sans"/>
        </w:rPr>
      </w:pPr>
      <w:r w:rsidRPr="00253ECC">
        <w:rPr>
          <w:rFonts w:ascii="Work Sans" w:hAnsi="Work Sans"/>
        </w:rPr>
        <w:t>El proyecto Colectora 500 kV incluye la construcción de la subestación Colectora y dos líneas de transmisión:</w:t>
      </w:r>
    </w:p>
    <w:p w14:paraId="583B029D" w14:textId="3186D621" w:rsidR="00253ECC" w:rsidRPr="00253ECC" w:rsidRDefault="00253ECC" w:rsidP="00680132">
      <w:pPr>
        <w:pStyle w:val="ListParagraph"/>
        <w:numPr>
          <w:ilvl w:val="0"/>
          <w:numId w:val="7"/>
        </w:numPr>
        <w:jc w:val="both"/>
        <w:rPr>
          <w:rFonts w:ascii="Work Sans" w:hAnsi="Work Sans"/>
        </w:rPr>
      </w:pPr>
      <w:r w:rsidRPr="00253ECC">
        <w:rPr>
          <w:rFonts w:ascii="Work Sans" w:hAnsi="Work Sans"/>
          <w:b/>
          <w:bCs/>
        </w:rPr>
        <w:t>Línea Colectora – Cuestecitas:</w:t>
      </w:r>
      <w:r w:rsidRPr="00253ECC">
        <w:rPr>
          <w:rFonts w:ascii="Work Sans" w:hAnsi="Work Sans"/>
        </w:rPr>
        <w:t xml:space="preserve"> Con una longitud de aproximadamente 114 km y dos líneas doble circuito, conectará la subestación Colectora con la subestación Cuestecitas. </w:t>
      </w:r>
    </w:p>
    <w:p w14:paraId="012E997D" w14:textId="240319A3" w:rsidR="00253ECC" w:rsidRPr="00253ECC" w:rsidRDefault="00253ECC" w:rsidP="00680132">
      <w:pPr>
        <w:pStyle w:val="ListParagraph"/>
        <w:numPr>
          <w:ilvl w:val="0"/>
          <w:numId w:val="7"/>
        </w:numPr>
        <w:jc w:val="both"/>
        <w:rPr>
          <w:rFonts w:ascii="Work Sans" w:hAnsi="Work Sans"/>
        </w:rPr>
      </w:pPr>
      <w:r w:rsidRPr="00253ECC">
        <w:rPr>
          <w:rFonts w:ascii="Work Sans" w:hAnsi="Work Sans"/>
          <w:b/>
          <w:bCs/>
        </w:rPr>
        <w:t>Línea Cuestecitas – La Loma:</w:t>
      </w:r>
      <w:r w:rsidRPr="00253ECC">
        <w:rPr>
          <w:rFonts w:ascii="Work Sans" w:hAnsi="Work Sans"/>
        </w:rPr>
        <w:t xml:space="preserve"> De aproximadamente 247 km, enlazará la subestación Cuestecitas con la subestación La Loma, en el departamento del Cesar.</w:t>
      </w:r>
    </w:p>
    <w:p w14:paraId="38F486CB" w14:textId="4E6C1211" w:rsidR="008C35A9" w:rsidRPr="00DF3E3B" w:rsidRDefault="00DF3E3B" w:rsidP="00BC71DB">
      <w:pPr>
        <w:jc w:val="both"/>
        <w:rPr>
          <w:rFonts w:ascii="Work Sans" w:hAnsi="Work Sans"/>
        </w:rPr>
      </w:pPr>
      <w:r>
        <w:rPr>
          <w:rFonts w:ascii="Work Sans" w:hAnsi="Work Sans"/>
        </w:rPr>
        <w:t>Según el último informe del Grupo de Energía de Bogotá, e</w:t>
      </w:r>
      <w:r w:rsidR="00860F04" w:rsidRPr="00DF3E3B">
        <w:rPr>
          <w:rFonts w:ascii="Work Sans" w:hAnsi="Work Sans"/>
        </w:rPr>
        <w:t>stas obras cuentan con el siguiente avance:</w:t>
      </w:r>
    </w:p>
    <w:tbl>
      <w:tblPr>
        <w:tblStyle w:val="TableGrid"/>
        <w:tblW w:w="0" w:type="auto"/>
        <w:tblLook w:val="04A0" w:firstRow="1" w:lastRow="0" w:firstColumn="1" w:lastColumn="0" w:noHBand="0" w:noVBand="1"/>
      </w:tblPr>
      <w:tblGrid>
        <w:gridCol w:w="4414"/>
        <w:gridCol w:w="4414"/>
      </w:tblGrid>
      <w:tr w:rsidR="00860F04" w:rsidRPr="00B86099" w14:paraId="53B3FD63" w14:textId="77777777" w:rsidTr="0D319830">
        <w:tc>
          <w:tcPr>
            <w:tcW w:w="4414" w:type="dxa"/>
            <w:shd w:val="clear" w:color="auto" w:fill="FFC000" w:themeFill="accent4"/>
            <w:vAlign w:val="center"/>
          </w:tcPr>
          <w:p w14:paraId="2D21E708" w14:textId="5B3AB92D" w:rsidR="00860F04" w:rsidRPr="00B86099" w:rsidRDefault="00860F04" w:rsidP="00B86099">
            <w:pPr>
              <w:jc w:val="center"/>
              <w:rPr>
                <w:rFonts w:ascii="Work Sans" w:hAnsi="Work Sans"/>
                <w:b/>
                <w:bCs/>
                <w:color w:val="FFFFFF" w:themeColor="background1"/>
                <w:sz w:val="20"/>
                <w:szCs w:val="20"/>
              </w:rPr>
            </w:pPr>
            <w:r w:rsidRPr="00B86099">
              <w:rPr>
                <w:rFonts w:ascii="Work Sans" w:hAnsi="Work Sans"/>
                <w:b/>
                <w:bCs/>
                <w:color w:val="FFFFFF" w:themeColor="background1"/>
                <w:sz w:val="20"/>
                <w:szCs w:val="20"/>
              </w:rPr>
              <w:t>Obra</w:t>
            </w:r>
          </w:p>
        </w:tc>
        <w:tc>
          <w:tcPr>
            <w:tcW w:w="4414" w:type="dxa"/>
            <w:shd w:val="clear" w:color="auto" w:fill="FFC000" w:themeFill="accent4"/>
            <w:vAlign w:val="center"/>
          </w:tcPr>
          <w:p w14:paraId="08A8EDB5" w14:textId="0AF61933" w:rsidR="00860F04" w:rsidRPr="00B86099" w:rsidRDefault="00860F04" w:rsidP="00B86099">
            <w:pPr>
              <w:jc w:val="center"/>
              <w:rPr>
                <w:rFonts w:ascii="Work Sans" w:hAnsi="Work Sans"/>
                <w:b/>
                <w:bCs/>
                <w:color w:val="FFFFFF" w:themeColor="background1"/>
                <w:sz w:val="20"/>
                <w:szCs w:val="20"/>
              </w:rPr>
            </w:pPr>
            <w:r w:rsidRPr="00B86099">
              <w:rPr>
                <w:rFonts w:ascii="Work Sans" w:hAnsi="Work Sans"/>
                <w:b/>
                <w:bCs/>
                <w:color w:val="FFFFFF" w:themeColor="background1"/>
                <w:sz w:val="20"/>
                <w:szCs w:val="20"/>
              </w:rPr>
              <w:t>Avance</w:t>
            </w:r>
          </w:p>
        </w:tc>
      </w:tr>
      <w:tr w:rsidR="00860F04" w:rsidRPr="00B86099" w14:paraId="7523AF2F" w14:textId="77777777" w:rsidTr="0D319830">
        <w:tc>
          <w:tcPr>
            <w:tcW w:w="4414" w:type="dxa"/>
            <w:vAlign w:val="center"/>
          </w:tcPr>
          <w:p w14:paraId="3B0CA77E" w14:textId="2937255C" w:rsidR="00860F04" w:rsidRPr="009A77BF" w:rsidRDefault="00320319" w:rsidP="009A77BF">
            <w:pPr>
              <w:spacing w:after="160" w:line="259" w:lineRule="auto"/>
              <w:jc w:val="center"/>
              <w:rPr>
                <w:rFonts w:ascii="Work Sans" w:hAnsi="Work Sans"/>
                <w:sz w:val="20"/>
                <w:szCs w:val="20"/>
              </w:rPr>
            </w:pPr>
            <w:r>
              <w:rPr>
                <w:rFonts w:ascii="Work Sans" w:hAnsi="Work Sans"/>
                <w:b/>
                <w:bCs/>
                <w:sz w:val="20"/>
                <w:szCs w:val="20"/>
              </w:rPr>
              <w:t xml:space="preserve">SUBESTACIÓN </w:t>
            </w:r>
            <w:r w:rsidR="00860F04" w:rsidRPr="00166C9B">
              <w:rPr>
                <w:rFonts w:ascii="Work Sans" w:hAnsi="Work Sans"/>
                <w:b/>
                <w:bCs/>
                <w:sz w:val="20"/>
                <w:szCs w:val="20"/>
              </w:rPr>
              <w:t>LA LOMA</w:t>
            </w:r>
            <w:r w:rsidR="00860F04" w:rsidRPr="00166C9B">
              <w:rPr>
                <w:rFonts w:ascii="Work Sans" w:hAnsi="Work Sans"/>
                <w:sz w:val="20"/>
                <w:szCs w:val="20"/>
              </w:rPr>
              <w:t>​</w:t>
            </w:r>
          </w:p>
        </w:tc>
        <w:tc>
          <w:tcPr>
            <w:tcW w:w="4414" w:type="dxa"/>
            <w:vAlign w:val="center"/>
          </w:tcPr>
          <w:p w14:paraId="54C2C525" w14:textId="77777777" w:rsidR="00B86099" w:rsidRDefault="00860F04" w:rsidP="00B86099">
            <w:pPr>
              <w:spacing w:after="160" w:line="259" w:lineRule="auto"/>
              <w:jc w:val="both"/>
              <w:rPr>
                <w:rFonts w:ascii="Work Sans" w:hAnsi="Work Sans"/>
                <w:sz w:val="20"/>
                <w:szCs w:val="20"/>
              </w:rPr>
            </w:pPr>
            <w:r w:rsidRPr="00166C9B">
              <w:rPr>
                <w:rFonts w:ascii="Work Sans" w:hAnsi="Work Sans"/>
                <w:sz w:val="20"/>
                <w:szCs w:val="20"/>
              </w:rPr>
              <w:t>Fin de comisionamiento.</w:t>
            </w:r>
          </w:p>
          <w:p w14:paraId="6F824F28" w14:textId="6BABC183" w:rsidR="00860F04" w:rsidRPr="00B86099" w:rsidRDefault="00860F04" w:rsidP="00B86099">
            <w:pPr>
              <w:spacing w:after="160" w:line="259" w:lineRule="auto"/>
              <w:jc w:val="both"/>
              <w:rPr>
                <w:rFonts w:ascii="Work Sans" w:hAnsi="Work Sans"/>
                <w:sz w:val="20"/>
                <w:szCs w:val="20"/>
                <w:lang w:val="en-US"/>
              </w:rPr>
            </w:pPr>
            <w:r w:rsidRPr="00166C9B">
              <w:rPr>
                <w:rFonts w:ascii="Work Sans" w:hAnsi="Work Sans"/>
                <w:sz w:val="20"/>
                <w:szCs w:val="20"/>
              </w:rPr>
              <w:t>Energización prevista para Marzo -25</w:t>
            </w:r>
            <w:r w:rsidRPr="00166C9B">
              <w:rPr>
                <w:rFonts w:ascii="Work Sans" w:hAnsi="Work Sans"/>
                <w:sz w:val="20"/>
                <w:szCs w:val="20"/>
                <w:lang w:val="en-US"/>
              </w:rPr>
              <w:t>​</w:t>
            </w:r>
          </w:p>
        </w:tc>
      </w:tr>
      <w:tr w:rsidR="00860F04" w:rsidRPr="00B86099" w14:paraId="4ED53737" w14:textId="77777777" w:rsidTr="0D319830">
        <w:tc>
          <w:tcPr>
            <w:tcW w:w="4414" w:type="dxa"/>
            <w:vAlign w:val="center"/>
          </w:tcPr>
          <w:p w14:paraId="75048F70" w14:textId="5463F381" w:rsidR="00860F04" w:rsidRPr="00B86099" w:rsidRDefault="00320319" w:rsidP="00B86099">
            <w:pPr>
              <w:jc w:val="center"/>
              <w:rPr>
                <w:rFonts w:ascii="Work Sans" w:hAnsi="Work Sans"/>
                <w:b/>
                <w:bCs/>
                <w:sz w:val="20"/>
                <w:szCs w:val="20"/>
              </w:rPr>
            </w:pPr>
            <w:r>
              <w:rPr>
                <w:rFonts w:ascii="Work Sans" w:hAnsi="Work Sans"/>
                <w:b/>
                <w:bCs/>
                <w:sz w:val="20"/>
                <w:szCs w:val="20"/>
              </w:rPr>
              <w:t xml:space="preserve">SUBESTACIÓN </w:t>
            </w:r>
            <w:r w:rsidR="00860F04" w:rsidRPr="00166C9B">
              <w:rPr>
                <w:rFonts w:ascii="Work Sans" w:hAnsi="Work Sans"/>
                <w:b/>
                <w:bCs/>
                <w:sz w:val="20"/>
                <w:szCs w:val="20"/>
              </w:rPr>
              <w:t>CUESTECITAS</w:t>
            </w:r>
          </w:p>
        </w:tc>
        <w:tc>
          <w:tcPr>
            <w:tcW w:w="4414" w:type="dxa"/>
            <w:vAlign w:val="center"/>
          </w:tcPr>
          <w:p w14:paraId="4917D22B" w14:textId="77777777" w:rsidR="00B86099" w:rsidRDefault="00860F04" w:rsidP="00B86099">
            <w:pPr>
              <w:spacing w:after="160" w:line="259" w:lineRule="auto"/>
              <w:jc w:val="both"/>
              <w:rPr>
                <w:rFonts w:ascii="Work Sans" w:hAnsi="Work Sans"/>
                <w:sz w:val="20"/>
                <w:szCs w:val="20"/>
              </w:rPr>
            </w:pPr>
            <w:r w:rsidRPr="00166C9B">
              <w:rPr>
                <w:rFonts w:ascii="Work Sans" w:hAnsi="Work Sans"/>
                <w:sz w:val="20"/>
                <w:szCs w:val="20"/>
              </w:rPr>
              <w:t>El avance de la obra civil y el montaje electromecánico continúa.</w:t>
            </w:r>
          </w:p>
          <w:p w14:paraId="4AFFB525" w14:textId="028BD284" w:rsidR="00860F04" w:rsidRPr="00B86099" w:rsidRDefault="00860F04" w:rsidP="00B86099">
            <w:pPr>
              <w:spacing w:after="160" w:line="259" w:lineRule="auto"/>
              <w:jc w:val="both"/>
              <w:rPr>
                <w:rFonts w:ascii="Work Sans" w:hAnsi="Work Sans"/>
                <w:sz w:val="20"/>
                <w:szCs w:val="20"/>
                <w:lang w:val="en-US"/>
              </w:rPr>
            </w:pPr>
            <w:r w:rsidRPr="00166C9B">
              <w:rPr>
                <w:rFonts w:ascii="Work Sans" w:hAnsi="Work Sans"/>
                <w:sz w:val="20"/>
                <w:szCs w:val="20"/>
              </w:rPr>
              <w:t>El avance general es del 60%, y el avance de la obra civil es del 90%.</w:t>
            </w:r>
            <w:r w:rsidRPr="00166C9B">
              <w:rPr>
                <w:rFonts w:ascii="Work Sans" w:hAnsi="Work Sans"/>
                <w:sz w:val="20"/>
                <w:szCs w:val="20"/>
                <w:lang w:val="en-US"/>
              </w:rPr>
              <w:t>​</w:t>
            </w:r>
          </w:p>
        </w:tc>
      </w:tr>
      <w:tr w:rsidR="00860F04" w:rsidRPr="00B86099" w14:paraId="3CF608D5" w14:textId="77777777" w:rsidTr="0D319830">
        <w:tc>
          <w:tcPr>
            <w:tcW w:w="4414" w:type="dxa"/>
            <w:vAlign w:val="center"/>
          </w:tcPr>
          <w:p w14:paraId="64B40C99" w14:textId="168A6C32" w:rsidR="00860F04" w:rsidRPr="00B86099" w:rsidRDefault="00320319" w:rsidP="00B86099">
            <w:pPr>
              <w:spacing w:after="160" w:line="259" w:lineRule="auto"/>
              <w:jc w:val="center"/>
              <w:rPr>
                <w:rFonts w:ascii="Work Sans" w:hAnsi="Work Sans"/>
                <w:sz w:val="20"/>
                <w:szCs w:val="20"/>
                <w:lang w:val="en-US"/>
              </w:rPr>
            </w:pPr>
            <w:r>
              <w:rPr>
                <w:rFonts w:ascii="Work Sans" w:hAnsi="Work Sans"/>
                <w:b/>
                <w:bCs/>
                <w:sz w:val="20"/>
                <w:szCs w:val="20"/>
              </w:rPr>
              <w:t xml:space="preserve">SUBESTACIÓN </w:t>
            </w:r>
            <w:r w:rsidR="00860F04" w:rsidRPr="00166C9B">
              <w:rPr>
                <w:rFonts w:ascii="Work Sans" w:hAnsi="Work Sans"/>
                <w:b/>
                <w:bCs/>
                <w:sz w:val="20"/>
                <w:szCs w:val="20"/>
              </w:rPr>
              <w:t>COLECTORA</w:t>
            </w:r>
            <w:r w:rsidR="00860F04" w:rsidRPr="00166C9B">
              <w:rPr>
                <w:rFonts w:ascii="Work Sans" w:hAnsi="Work Sans"/>
                <w:sz w:val="20"/>
                <w:szCs w:val="20"/>
                <w:lang w:val="en-US"/>
              </w:rPr>
              <w:t>​</w:t>
            </w:r>
          </w:p>
        </w:tc>
        <w:tc>
          <w:tcPr>
            <w:tcW w:w="4414" w:type="dxa"/>
            <w:vAlign w:val="center"/>
          </w:tcPr>
          <w:p w14:paraId="6A543EB1" w14:textId="128B6DE8" w:rsidR="00860F04" w:rsidRPr="00B86099" w:rsidRDefault="458EF744" w:rsidP="00B86099">
            <w:pPr>
              <w:spacing w:after="160" w:line="259" w:lineRule="auto"/>
              <w:jc w:val="both"/>
              <w:rPr>
                <w:rFonts w:ascii="Work Sans" w:hAnsi="Work Sans"/>
                <w:sz w:val="20"/>
                <w:szCs w:val="20"/>
              </w:rPr>
            </w:pPr>
            <w:r w:rsidRPr="0D319830">
              <w:rPr>
                <w:rFonts w:ascii="Work Sans" w:hAnsi="Work Sans"/>
                <w:sz w:val="20"/>
                <w:szCs w:val="20"/>
              </w:rPr>
              <w:t>Fin etapa preconstructiva</w:t>
            </w:r>
            <w:r w:rsidR="4313A785" w:rsidRPr="0D319830">
              <w:rPr>
                <w:rFonts w:ascii="Work Sans" w:hAnsi="Work Sans"/>
                <w:sz w:val="20"/>
                <w:szCs w:val="20"/>
              </w:rPr>
              <w:t xml:space="preserve"> se espera que inicie la construcción en</w:t>
            </w:r>
            <w:r w:rsidRPr="0D319830">
              <w:rPr>
                <w:rFonts w:ascii="Work Sans" w:hAnsi="Work Sans"/>
                <w:sz w:val="20"/>
                <w:szCs w:val="20"/>
              </w:rPr>
              <w:t xml:space="preserve"> Abr/2025.</w:t>
            </w:r>
          </w:p>
        </w:tc>
      </w:tr>
      <w:tr w:rsidR="00320319" w:rsidRPr="00B86099" w14:paraId="748906BE" w14:textId="77777777" w:rsidTr="0D319830">
        <w:tc>
          <w:tcPr>
            <w:tcW w:w="4414" w:type="dxa"/>
            <w:vAlign w:val="center"/>
          </w:tcPr>
          <w:p w14:paraId="733FFB47" w14:textId="00BD2761" w:rsidR="00320319" w:rsidRDefault="00320319" w:rsidP="00B86099">
            <w:pPr>
              <w:jc w:val="center"/>
              <w:rPr>
                <w:rFonts w:ascii="Work Sans" w:hAnsi="Work Sans"/>
                <w:b/>
                <w:bCs/>
                <w:sz w:val="20"/>
                <w:szCs w:val="20"/>
              </w:rPr>
            </w:pPr>
            <w:r>
              <w:rPr>
                <w:rFonts w:ascii="Work Sans" w:hAnsi="Work Sans"/>
                <w:b/>
                <w:bCs/>
                <w:sz w:val="20"/>
                <w:szCs w:val="20"/>
              </w:rPr>
              <w:t>LÍNEA COLECTORA</w:t>
            </w:r>
            <w:r w:rsidR="003927A7">
              <w:rPr>
                <w:rFonts w:ascii="Work Sans" w:hAnsi="Work Sans"/>
                <w:b/>
                <w:bCs/>
                <w:sz w:val="20"/>
                <w:szCs w:val="20"/>
              </w:rPr>
              <w:t xml:space="preserve"> </w:t>
            </w:r>
            <w:r>
              <w:rPr>
                <w:rFonts w:ascii="Work Sans" w:hAnsi="Work Sans"/>
                <w:b/>
                <w:bCs/>
                <w:sz w:val="20"/>
                <w:szCs w:val="20"/>
              </w:rPr>
              <w:t>-</w:t>
            </w:r>
            <w:r w:rsidR="003927A7">
              <w:rPr>
                <w:rFonts w:ascii="Work Sans" w:hAnsi="Work Sans"/>
                <w:b/>
                <w:bCs/>
                <w:sz w:val="20"/>
                <w:szCs w:val="20"/>
              </w:rPr>
              <w:t xml:space="preserve"> </w:t>
            </w:r>
            <w:r>
              <w:rPr>
                <w:rFonts w:ascii="Work Sans" w:hAnsi="Work Sans"/>
                <w:b/>
                <w:bCs/>
                <w:sz w:val="20"/>
                <w:szCs w:val="20"/>
              </w:rPr>
              <w:t>CUESTECITAS</w:t>
            </w:r>
          </w:p>
        </w:tc>
        <w:tc>
          <w:tcPr>
            <w:tcW w:w="4414" w:type="dxa"/>
            <w:vAlign w:val="center"/>
          </w:tcPr>
          <w:p w14:paraId="7897D9BC" w14:textId="2CB4CF6A" w:rsidR="00320319" w:rsidRPr="0D319830" w:rsidRDefault="003927A7" w:rsidP="00B86099">
            <w:pPr>
              <w:jc w:val="both"/>
              <w:rPr>
                <w:rFonts w:ascii="Work Sans" w:hAnsi="Work Sans"/>
                <w:sz w:val="20"/>
                <w:szCs w:val="20"/>
              </w:rPr>
            </w:pPr>
            <w:r>
              <w:rPr>
                <w:rFonts w:ascii="Work Sans" w:hAnsi="Work Sans"/>
                <w:sz w:val="20"/>
                <w:szCs w:val="20"/>
              </w:rPr>
              <w:t>No tiene avance físico.</w:t>
            </w:r>
          </w:p>
        </w:tc>
      </w:tr>
      <w:tr w:rsidR="00320319" w:rsidRPr="00B86099" w14:paraId="59B433E4" w14:textId="77777777" w:rsidTr="0D319830">
        <w:tc>
          <w:tcPr>
            <w:tcW w:w="4414" w:type="dxa"/>
            <w:vAlign w:val="center"/>
          </w:tcPr>
          <w:p w14:paraId="48866700" w14:textId="13CDF1AC" w:rsidR="00320319" w:rsidRDefault="003927A7" w:rsidP="00B86099">
            <w:pPr>
              <w:jc w:val="center"/>
              <w:rPr>
                <w:rFonts w:ascii="Work Sans" w:hAnsi="Work Sans"/>
                <w:b/>
                <w:bCs/>
                <w:sz w:val="20"/>
                <w:szCs w:val="20"/>
              </w:rPr>
            </w:pPr>
            <w:r>
              <w:rPr>
                <w:rFonts w:ascii="Work Sans" w:hAnsi="Work Sans"/>
                <w:b/>
                <w:bCs/>
                <w:sz w:val="20"/>
                <w:szCs w:val="20"/>
              </w:rPr>
              <w:t>LÍNEA CUESTECITAS - LA LOMA</w:t>
            </w:r>
          </w:p>
        </w:tc>
        <w:tc>
          <w:tcPr>
            <w:tcW w:w="4414" w:type="dxa"/>
            <w:vAlign w:val="center"/>
          </w:tcPr>
          <w:p w14:paraId="496BBD81" w14:textId="7D2D5A8E" w:rsidR="00320319" w:rsidRDefault="0059390A" w:rsidP="00B86099">
            <w:pPr>
              <w:jc w:val="both"/>
              <w:rPr>
                <w:rFonts w:ascii="Work Sans" w:hAnsi="Work Sans"/>
                <w:sz w:val="20"/>
                <w:szCs w:val="20"/>
              </w:rPr>
            </w:pPr>
            <w:r>
              <w:rPr>
                <w:rFonts w:ascii="Work Sans" w:hAnsi="Work Sans"/>
                <w:sz w:val="20"/>
                <w:szCs w:val="20"/>
              </w:rPr>
              <w:t>480</w:t>
            </w:r>
            <w:r w:rsidR="005524DA">
              <w:rPr>
                <w:rFonts w:ascii="Work Sans" w:hAnsi="Work Sans"/>
                <w:sz w:val="20"/>
                <w:szCs w:val="20"/>
              </w:rPr>
              <w:t xml:space="preserve"> de 511 cimentaciones, </w:t>
            </w:r>
            <w:r>
              <w:rPr>
                <w:rFonts w:ascii="Work Sans" w:hAnsi="Work Sans"/>
                <w:sz w:val="20"/>
                <w:szCs w:val="20"/>
              </w:rPr>
              <w:t>equivalentes</w:t>
            </w:r>
            <w:r w:rsidR="005524DA">
              <w:rPr>
                <w:rFonts w:ascii="Work Sans" w:hAnsi="Work Sans"/>
                <w:sz w:val="20"/>
                <w:szCs w:val="20"/>
              </w:rPr>
              <w:t xml:space="preserve"> al </w:t>
            </w:r>
            <w:r>
              <w:rPr>
                <w:rFonts w:ascii="Work Sans" w:hAnsi="Work Sans"/>
                <w:sz w:val="20"/>
                <w:szCs w:val="20"/>
              </w:rPr>
              <w:t>9</w:t>
            </w:r>
            <w:r w:rsidR="005524DA">
              <w:rPr>
                <w:rFonts w:ascii="Work Sans" w:hAnsi="Work Sans"/>
                <w:sz w:val="20"/>
                <w:szCs w:val="20"/>
              </w:rPr>
              <w:t>4%.</w:t>
            </w:r>
          </w:p>
          <w:p w14:paraId="32EAA631" w14:textId="77777777" w:rsidR="0059390A" w:rsidRDefault="0059390A" w:rsidP="00B86099">
            <w:pPr>
              <w:jc w:val="both"/>
              <w:rPr>
                <w:rFonts w:ascii="Work Sans" w:hAnsi="Work Sans"/>
                <w:sz w:val="20"/>
                <w:szCs w:val="20"/>
              </w:rPr>
            </w:pPr>
          </w:p>
          <w:p w14:paraId="51B451ED" w14:textId="77777777" w:rsidR="005524DA" w:rsidRDefault="0059390A" w:rsidP="00B86099">
            <w:pPr>
              <w:jc w:val="both"/>
              <w:rPr>
                <w:rFonts w:ascii="Work Sans" w:hAnsi="Work Sans"/>
                <w:sz w:val="20"/>
                <w:szCs w:val="20"/>
              </w:rPr>
            </w:pPr>
            <w:r>
              <w:rPr>
                <w:rFonts w:ascii="Work Sans" w:hAnsi="Work Sans"/>
                <w:sz w:val="20"/>
                <w:szCs w:val="20"/>
              </w:rPr>
              <w:t>430</w:t>
            </w:r>
            <w:r w:rsidR="005524DA">
              <w:rPr>
                <w:rFonts w:ascii="Work Sans" w:hAnsi="Work Sans"/>
                <w:sz w:val="20"/>
                <w:szCs w:val="20"/>
              </w:rPr>
              <w:t xml:space="preserve"> de </w:t>
            </w:r>
            <w:r>
              <w:rPr>
                <w:rFonts w:ascii="Work Sans" w:hAnsi="Work Sans"/>
                <w:sz w:val="20"/>
                <w:szCs w:val="20"/>
              </w:rPr>
              <w:t>511</w:t>
            </w:r>
            <w:r w:rsidR="005524DA">
              <w:rPr>
                <w:rFonts w:ascii="Work Sans" w:hAnsi="Work Sans"/>
                <w:sz w:val="20"/>
                <w:szCs w:val="20"/>
              </w:rPr>
              <w:t xml:space="preserve"> torres montadas</w:t>
            </w:r>
            <w:r>
              <w:rPr>
                <w:rFonts w:ascii="Work Sans" w:hAnsi="Work Sans"/>
                <w:sz w:val="20"/>
                <w:szCs w:val="20"/>
              </w:rPr>
              <w:t xml:space="preserve"> equivalentes al 84%.</w:t>
            </w:r>
          </w:p>
          <w:p w14:paraId="5EC04D0E" w14:textId="77777777" w:rsidR="00A17239" w:rsidRDefault="00A17239" w:rsidP="00B86099">
            <w:pPr>
              <w:jc w:val="both"/>
              <w:rPr>
                <w:rFonts w:ascii="Work Sans" w:hAnsi="Work Sans"/>
                <w:sz w:val="20"/>
                <w:szCs w:val="20"/>
              </w:rPr>
            </w:pPr>
          </w:p>
          <w:p w14:paraId="672A3806" w14:textId="7C989F65" w:rsidR="00A17239" w:rsidRPr="0D319830" w:rsidRDefault="009464EF" w:rsidP="00B86099">
            <w:pPr>
              <w:jc w:val="both"/>
              <w:rPr>
                <w:rFonts w:ascii="Work Sans" w:hAnsi="Work Sans"/>
                <w:sz w:val="20"/>
                <w:szCs w:val="20"/>
              </w:rPr>
            </w:pPr>
            <w:r>
              <w:rPr>
                <w:rFonts w:ascii="Work Sans" w:hAnsi="Work Sans"/>
                <w:sz w:val="20"/>
                <w:szCs w:val="20"/>
              </w:rPr>
              <w:t>Además</w:t>
            </w:r>
            <w:r w:rsidR="00A17239">
              <w:rPr>
                <w:rFonts w:ascii="Work Sans" w:hAnsi="Work Sans"/>
                <w:sz w:val="20"/>
                <w:szCs w:val="20"/>
              </w:rPr>
              <w:t>, se han tendido 109 km de</w:t>
            </w:r>
            <w:r>
              <w:rPr>
                <w:rFonts w:ascii="Work Sans" w:hAnsi="Work Sans"/>
                <w:sz w:val="20"/>
                <w:szCs w:val="20"/>
              </w:rPr>
              <w:t xml:space="preserve"> 248 km necesarios, equivalentes al 44%.</w:t>
            </w:r>
          </w:p>
        </w:tc>
      </w:tr>
    </w:tbl>
    <w:p w14:paraId="1D556691" w14:textId="4597724E" w:rsidR="008C35A9" w:rsidRPr="00F30A72" w:rsidRDefault="00F30A72" w:rsidP="00F30A72">
      <w:pPr>
        <w:jc w:val="center"/>
        <w:rPr>
          <w:rFonts w:ascii="Work Sans" w:hAnsi="Work Sans"/>
        </w:rPr>
      </w:pPr>
      <w:r w:rsidRPr="00DB6010">
        <w:rPr>
          <w:rFonts w:ascii="Work Sans" w:hAnsi="Work Sans"/>
          <w:i/>
          <w:iCs/>
        </w:rPr>
        <w:t xml:space="preserve">Fuente: </w:t>
      </w:r>
      <w:r>
        <w:rPr>
          <w:rFonts w:ascii="Work Sans" w:hAnsi="Work Sans"/>
          <w:i/>
          <w:iCs/>
        </w:rPr>
        <w:t>GEB</w:t>
      </w:r>
    </w:p>
    <w:p w14:paraId="1D594259" w14:textId="2D5F2F92" w:rsidR="0D319830" w:rsidRPr="009F6CF4" w:rsidRDefault="005D32C6" w:rsidP="16EC1A71">
      <w:pPr>
        <w:rPr>
          <w:rFonts w:ascii="Work Sans" w:hAnsi="Work Sans"/>
          <w:b/>
          <w:bCs/>
        </w:rPr>
      </w:pPr>
      <w:r w:rsidRPr="009F6CF4">
        <w:rPr>
          <w:rFonts w:ascii="Work Sans" w:hAnsi="Work Sans"/>
          <w:b/>
          <w:bCs/>
        </w:rPr>
        <w:t xml:space="preserve">3. Sentencias de la guajira y normatividad relacionada con guajira </w:t>
      </w:r>
    </w:p>
    <w:p w14:paraId="70328F80" w14:textId="6045BEDB" w:rsidR="0D319830" w:rsidRDefault="0487ED1A" w:rsidP="16EC1A71">
      <w:pPr>
        <w:rPr>
          <w:rFonts w:ascii="Work Sans" w:hAnsi="Work Sans"/>
          <w:b/>
          <w:bCs/>
        </w:rPr>
      </w:pPr>
      <w:r w:rsidRPr="7914AB45">
        <w:rPr>
          <w:rFonts w:ascii="Work Sans" w:hAnsi="Work Sans"/>
          <w:b/>
          <w:bCs/>
        </w:rPr>
        <w:t>S</w:t>
      </w:r>
      <w:r w:rsidR="425875A1" w:rsidRPr="7914AB45">
        <w:rPr>
          <w:rFonts w:ascii="Work Sans" w:hAnsi="Work Sans"/>
          <w:b/>
          <w:bCs/>
        </w:rPr>
        <w:t xml:space="preserve">ENTENCIA </w:t>
      </w:r>
      <w:r w:rsidRPr="7914AB45">
        <w:rPr>
          <w:rFonts w:ascii="Work Sans" w:hAnsi="Work Sans"/>
          <w:b/>
          <w:bCs/>
        </w:rPr>
        <w:t>R</w:t>
      </w:r>
      <w:r w:rsidR="3A8B7F96" w:rsidRPr="7914AB45">
        <w:rPr>
          <w:rFonts w:ascii="Work Sans" w:hAnsi="Work Sans"/>
          <w:b/>
          <w:bCs/>
        </w:rPr>
        <w:t>IO</w:t>
      </w:r>
      <w:r w:rsidRPr="7A2E77F9">
        <w:rPr>
          <w:rFonts w:ascii="Work Sans" w:hAnsi="Work Sans"/>
          <w:b/>
          <w:bCs/>
        </w:rPr>
        <w:t xml:space="preserve"> </w:t>
      </w:r>
      <w:r w:rsidR="44E4725C" w:rsidRPr="7A2E77F9">
        <w:rPr>
          <w:rFonts w:ascii="Work Sans" w:hAnsi="Work Sans"/>
          <w:b/>
          <w:bCs/>
        </w:rPr>
        <w:t>R</w:t>
      </w:r>
      <w:r w:rsidR="3E451B07" w:rsidRPr="7A2E77F9">
        <w:rPr>
          <w:rFonts w:ascii="Work Sans" w:hAnsi="Work Sans"/>
          <w:b/>
          <w:bCs/>
        </w:rPr>
        <w:t>ANCHERÍA</w:t>
      </w:r>
    </w:p>
    <w:p w14:paraId="66796FF1" w14:textId="75407D79" w:rsidR="0D319830" w:rsidRDefault="44E4725C" w:rsidP="16EC1A71">
      <w:pPr>
        <w:rPr>
          <w:rFonts w:ascii="Work Sans" w:hAnsi="Work Sans"/>
        </w:rPr>
      </w:pPr>
      <w:r w:rsidRPr="16EC1A71">
        <w:rPr>
          <w:rFonts w:ascii="Work Sans" w:hAnsi="Work Sans"/>
          <w:b/>
          <w:bCs/>
        </w:rPr>
        <w:t>Numero de Radicado Consejo de E</w:t>
      </w:r>
      <w:r w:rsidR="42AFAD1E" w:rsidRPr="16EC1A71">
        <w:rPr>
          <w:rFonts w:ascii="Work Sans" w:hAnsi="Work Sans"/>
          <w:b/>
          <w:bCs/>
        </w:rPr>
        <w:t>stado</w:t>
      </w:r>
      <w:r w:rsidRPr="16EC1A71">
        <w:rPr>
          <w:rFonts w:ascii="Work Sans" w:hAnsi="Work Sans"/>
          <w:b/>
          <w:bCs/>
        </w:rPr>
        <w:t xml:space="preserve">: </w:t>
      </w:r>
      <w:r w:rsidRPr="16EC1A71">
        <w:rPr>
          <w:rFonts w:ascii="Work Sans" w:hAnsi="Work Sans"/>
        </w:rPr>
        <w:t>4001-23-40-000-2018-00125-01</w:t>
      </w:r>
    </w:p>
    <w:p w14:paraId="3B874412" w14:textId="7BE4EC29" w:rsidR="0D319830" w:rsidRDefault="36BB65F1" w:rsidP="16EC1A71">
      <w:pPr>
        <w:rPr>
          <w:rFonts w:ascii="Work Sans" w:hAnsi="Work Sans"/>
        </w:rPr>
      </w:pPr>
      <w:r w:rsidRPr="637D6BF0">
        <w:rPr>
          <w:rFonts w:ascii="Work Sans" w:hAnsi="Work Sans"/>
          <w:b/>
          <w:bCs/>
        </w:rPr>
        <w:t>Actor</w:t>
      </w:r>
      <w:r w:rsidR="5BF5B0B5" w:rsidRPr="637D6BF0">
        <w:rPr>
          <w:rFonts w:ascii="Work Sans" w:hAnsi="Work Sans"/>
          <w:b/>
          <w:bCs/>
        </w:rPr>
        <w:t>es</w:t>
      </w:r>
      <w:r w:rsidRPr="637D6BF0">
        <w:rPr>
          <w:rFonts w:ascii="Work Sans" w:hAnsi="Work Sans"/>
          <w:b/>
          <w:bCs/>
        </w:rPr>
        <w:t>:</w:t>
      </w:r>
      <w:r w:rsidRPr="637D6BF0">
        <w:rPr>
          <w:rFonts w:ascii="Work Sans" w:hAnsi="Work Sans"/>
        </w:rPr>
        <w:t xml:space="preserve"> PROCURADURÍA 12 JUDICIAL II AGRARIA Y AMBIENTAL DE </w:t>
      </w:r>
    </w:p>
    <w:p w14:paraId="0712CF58" w14:textId="5C68D49C" w:rsidR="0D319830" w:rsidRDefault="44E4725C" w:rsidP="16EC1A71">
      <w:pPr>
        <w:rPr>
          <w:rFonts w:ascii="Work Sans" w:hAnsi="Work Sans"/>
        </w:rPr>
      </w:pPr>
      <w:r w:rsidRPr="16EC1A71">
        <w:rPr>
          <w:rFonts w:ascii="Work Sans" w:hAnsi="Work Sans"/>
        </w:rPr>
        <w:t>RIOHACHA Y OTRA.</w:t>
      </w:r>
    </w:p>
    <w:p w14:paraId="1E01E744" w14:textId="50AE3B39" w:rsidR="551F6A47" w:rsidRDefault="551F6A47" w:rsidP="02419FE2">
      <w:pPr>
        <w:rPr>
          <w:rFonts w:ascii="Work Sans" w:hAnsi="Work Sans"/>
          <w:b/>
        </w:rPr>
      </w:pPr>
      <w:r w:rsidRPr="7A2E77F9">
        <w:rPr>
          <w:rFonts w:ascii="Work Sans" w:hAnsi="Work Sans"/>
          <w:b/>
        </w:rPr>
        <w:t xml:space="preserve">RESUMEN EJECUTIVO: </w:t>
      </w:r>
    </w:p>
    <w:p w14:paraId="30A49249" w14:textId="37A80BD0" w:rsidR="551F6A47" w:rsidRDefault="551F6A47" w:rsidP="00A65517">
      <w:pPr>
        <w:jc w:val="both"/>
        <w:rPr>
          <w:rFonts w:ascii="Work Sans" w:hAnsi="Work Sans"/>
        </w:rPr>
      </w:pPr>
      <w:r w:rsidRPr="4A11002D">
        <w:rPr>
          <w:rFonts w:ascii="Work Sans" w:hAnsi="Work Sans"/>
        </w:rPr>
        <w:t xml:space="preserve">El Consejo De Estado, en sentencia de Segunda Instancia proferida el 21 de junio de 2023, </w:t>
      </w:r>
      <w:r w:rsidR="36FAD27F" w:rsidRPr="4A11002D">
        <w:rPr>
          <w:rFonts w:ascii="Work Sans" w:hAnsi="Work Sans"/>
        </w:rPr>
        <w:t xml:space="preserve"> confirma la decisión emitida por el Tribunal </w:t>
      </w:r>
      <w:r w:rsidR="132FE94F" w:rsidRPr="7914AB45">
        <w:rPr>
          <w:rFonts w:ascii="Work Sans" w:hAnsi="Work Sans"/>
        </w:rPr>
        <w:t>Administrativo</w:t>
      </w:r>
      <w:r w:rsidR="36FAD27F" w:rsidRPr="4A11002D">
        <w:rPr>
          <w:rFonts w:ascii="Work Sans" w:hAnsi="Work Sans"/>
        </w:rPr>
        <w:t xml:space="preserve"> de la Guajira, mediante la cual ordena</w:t>
      </w:r>
      <w:r w:rsidR="14E77BA2" w:rsidRPr="7914AB45">
        <w:rPr>
          <w:rFonts w:ascii="Work Sans" w:hAnsi="Work Sans"/>
        </w:rPr>
        <w:t>:</w:t>
      </w:r>
      <w:r w:rsidR="36FAD27F" w:rsidRPr="4A11002D">
        <w:rPr>
          <w:rFonts w:ascii="Work Sans" w:hAnsi="Work Sans"/>
        </w:rPr>
        <w:t xml:space="preserve"> </w:t>
      </w:r>
      <w:r w:rsidR="4F116266" w:rsidRPr="4A11002D">
        <w:rPr>
          <w:rFonts w:ascii="Work Sans" w:hAnsi="Work Sans"/>
          <w:i/>
          <w:iCs/>
        </w:rPr>
        <w:t xml:space="preserve">“SEGUNDO: ORDENAR a la AGENCIA DE DESARROLLO RURAL:   (i) CONFORMAR una Mesa Técnica de Trabajo integrada por el DEPARTAMENTO NACIONAL DE PLANEACIÓN; la Gobernación del DEPARTAMENTO DE LA GUAJIRA; la CORPORACIÓN AUTÓNOMA REGIONAL DE LA GUAJIRA y los ministerios de AGRICULTURA Y DESARROLLO RURAL, HACIENDA Y CRÉDITO PÚBLICO,  AMBIENTE Y DESARROLLO SOSTENIBLE, VIVIENDA, CIUDAD Y TERRITORIO, </w:t>
      </w:r>
      <w:r w:rsidR="4F116266" w:rsidRPr="7914AB45">
        <w:rPr>
          <w:rFonts w:ascii="Work Sans" w:hAnsi="Work Sans"/>
          <w:b/>
          <w:i/>
        </w:rPr>
        <w:t>MINAS Y ENERGÍA</w:t>
      </w:r>
      <w:r w:rsidR="4F116266" w:rsidRPr="4A11002D">
        <w:rPr>
          <w:rFonts w:ascii="Work Sans" w:hAnsi="Work Sans"/>
          <w:i/>
          <w:iCs/>
        </w:rPr>
        <w:t xml:space="preserve"> y del INTERIOR, con el fin de ejecutar las gestiones interinstitucionales proyectadas en el documento “Hoja de Ruta para la Terminación del Proyecto Estratégico de Adecuación de Tierras de Gran Escala del Río Ranchería”.</w:t>
      </w:r>
      <w:r>
        <w:tab/>
      </w:r>
    </w:p>
    <w:p w14:paraId="766DB4CF" w14:textId="75C31C03" w:rsidR="0724D3B4" w:rsidRDefault="0724D3B4" w:rsidP="16EC1A71">
      <w:pPr>
        <w:rPr>
          <w:rFonts w:ascii="Work Sans" w:hAnsi="Work Sans"/>
          <w:b/>
        </w:rPr>
      </w:pPr>
      <w:r w:rsidRPr="7914AB45">
        <w:rPr>
          <w:rFonts w:ascii="Work Sans" w:hAnsi="Work Sans"/>
          <w:b/>
        </w:rPr>
        <w:t xml:space="preserve">ANTECEDENTES: </w:t>
      </w:r>
    </w:p>
    <w:p w14:paraId="7892D337" w14:textId="4B491EE7" w:rsidR="4D33EA40" w:rsidRDefault="1AEE44CC" w:rsidP="16EC1A71">
      <w:pPr>
        <w:jc w:val="both"/>
        <w:rPr>
          <w:rFonts w:ascii="Work Sans" w:hAnsi="Work Sans"/>
        </w:rPr>
      </w:pPr>
      <w:r w:rsidRPr="637D6BF0">
        <w:rPr>
          <w:rFonts w:ascii="Work Sans" w:hAnsi="Work Sans"/>
        </w:rPr>
        <w:t>La Procuraduría agrario ambiental y para asuntos administrativos de Riohacha presentan,</w:t>
      </w:r>
      <w:r w:rsidR="7AEE3FF6" w:rsidRPr="637D6BF0">
        <w:rPr>
          <w:rFonts w:ascii="Work Sans" w:hAnsi="Work Sans"/>
        </w:rPr>
        <w:t xml:space="preserve"> acción popular prevista en el artículo 88 de la Constitución Política, ante el Tribunal tendiente a obtener la protección de los derechos colectivos a la existencia del equilibrio ecológico y el manejo y aprovechamiento racional de los recursos naturales, a la moralidad administrativa, a la defensa del patrimonio público, al acceso a una infraestructura de servicios que garantice la salubridad pública y al acceso a los servicios públicos y que su prestación sea eficiente y oportuna, presuntamente vulnerados por la ADR</w:t>
      </w:r>
    </w:p>
    <w:p w14:paraId="077BF293" w14:textId="51544B63" w:rsidR="7D03BC75" w:rsidRDefault="5E724764" w:rsidP="64B83AC2">
      <w:pPr>
        <w:jc w:val="both"/>
        <w:rPr>
          <w:rFonts w:ascii="Work Sans" w:hAnsi="Work Sans"/>
        </w:rPr>
      </w:pPr>
      <w:r w:rsidRPr="637D6BF0">
        <w:rPr>
          <w:rFonts w:ascii="Work Sans" w:hAnsi="Work Sans"/>
        </w:rPr>
        <w:t xml:space="preserve">La represa del Rio Ranchería es un megaproyecto </w:t>
      </w:r>
      <w:r w:rsidR="1B601C19" w:rsidRPr="637D6BF0">
        <w:rPr>
          <w:rFonts w:ascii="Work Sans" w:hAnsi="Work Sans"/>
        </w:rPr>
        <w:t>el cual buscaba abastecer de agua a diversas comunidades de la Guajira, pese a que se realizaron estudios y diseños en el año 2010 se detuvo la construcción,</w:t>
      </w:r>
      <w:r w:rsidR="16A012FE" w:rsidRPr="637D6BF0">
        <w:rPr>
          <w:rFonts w:ascii="Work Sans" w:hAnsi="Work Sans"/>
        </w:rPr>
        <w:t xml:space="preserve"> dejando una infraestructura inconclusa y </w:t>
      </w:r>
      <w:r w:rsidR="45D52F31" w:rsidRPr="637D6BF0">
        <w:rPr>
          <w:rFonts w:ascii="Work Sans" w:hAnsi="Work Sans"/>
        </w:rPr>
        <w:t>así</w:t>
      </w:r>
      <w:r w:rsidR="16A012FE" w:rsidRPr="637D6BF0">
        <w:rPr>
          <w:rFonts w:ascii="Work Sans" w:hAnsi="Work Sans"/>
        </w:rPr>
        <w:t xml:space="preserve"> a diversas comunidades por la falta de </w:t>
      </w:r>
      <w:r w:rsidR="0E91B956" w:rsidRPr="637D6BF0">
        <w:rPr>
          <w:rFonts w:ascii="Work Sans" w:hAnsi="Work Sans"/>
        </w:rPr>
        <w:t>agua; Razón</w:t>
      </w:r>
      <w:r w:rsidR="16A012FE" w:rsidRPr="637D6BF0">
        <w:rPr>
          <w:rFonts w:ascii="Work Sans" w:hAnsi="Work Sans"/>
        </w:rPr>
        <w:t xml:space="preserve"> por la cual el Consejo de estado confirma la sentencia emitida por el Tribunal Adm</w:t>
      </w:r>
      <w:r w:rsidR="0563D74A" w:rsidRPr="637D6BF0">
        <w:rPr>
          <w:rFonts w:ascii="Work Sans" w:hAnsi="Work Sans"/>
        </w:rPr>
        <w:t xml:space="preserve">inistrativo de la Guajira y solicitando a las entidades de orden Nacional la asistencia a la mesa Técnica interinstitucional con el fin de ejecutar las acciones necesarias para culminar el proyecto. </w:t>
      </w:r>
    </w:p>
    <w:p w14:paraId="0E9169F4" w14:textId="4D84AD99" w:rsidR="0D319830" w:rsidRPr="008D7417" w:rsidRDefault="2A6BBF2F" w:rsidP="637D6BF0">
      <w:pPr>
        <w:jc w:val="both"/>
        <w:rPr>
          <w:rFonts w:ascii="Work Sans" w:hAnsi="Work Sans"/>
          <w:b/>
          <w:bCs/>
        </w:rPr>
      </w:pPr>
      <w:r w:rsidRPr="637D6BF0">
        <w:rPr>
          <w:rFonts w:ascii="Work Sans" w:hAnsi="Work Sans"/>
          <w:b/>
          <w:bCs/>
        </w:rPr>
        <w:t xml:space="preserve">ACCIONES POR SEGUIR: </w:t>
      </w:r>
    </w:p>
    <w:p w14:paraId="1D66ECDF" w14:textId="388FB989" w:rsidR="0D319830" w:rsidRPr="008D7417" w:rsidRDefault="5F9ECD3A" w:rsidP="637D6BF0">
      <w:pPr>
        <w:jc w:val="both"/>
        <w:rPr>
          <w:rFonts w:ascii="Work Sans" w:hAnsi="Work Sans"/>
        </w:rPr>
      </w:pPr>
      <w:r w:rsidRPr="637D6BF0">
        <w:rPr>
          <w:rFonts w:ascii="Work Sans" w:hAnsi="Work Sans"/>
        </w:rPr>
        <w:t xml:space="preserve">Para el debido cumplimiento de la sentencia proferida por el Consejo de </w:t>
      </w:r>
      <w:r w:rsidR="091B439E" w:rsidRPr="637D6BF0">
        <w:rPr>
          <w:rFonts w:ascii="Work Sans" w:hAnsi="Work Sans"/>
        </w:rPr>
        <w:t>Estado, el</w:t>
      </w:r>
      <w:r w:rsidRPr="637D6BF0">
        <w:rPr>
          <w:rFonts w:ascii="Work Sans" w:hAnsi="Work Sans"/>
        </w:rPr>
        <w:t xml:space="preserve"> Ministerio de Minas y Energía debe continuar las acciones enfocadas al cumplimiento de lo ordenado, bajo la</w:t>
      </w:r>
      <w:r w:rsidR="647791CE" w:rsidRPr="637D6BF0">
        <w:rPr>
          <w:rFonts w:ascii="Work Sans" w:hAnsi="Work Sans"/>
        </w:rPr>
        <w:t>s siguientes actividades:</w:t>
      </w:r>
    </w:p>
    <w:p w14:paraId="1450F3AC" w14:textId="4D0CCE86" w:rsidR="0D319830" w:rsidRPr="008D7417" w:rsidRDefault="4F3E7D1D" w:rsidP="637D6BF0">
      <w:pPr>
        <w:pStyle w:val="ListParagraph"/>
        <w:numPr>
          <w:ilvl w:val="0"/>
          <w:numId w:val="2"/>
        </w:numPr>
        <w:jc w:val="both"/>
        <w:rPr>
          <w:rFonts w:ascii="Work Sans" w:hAnsi="Work Sans"/>
        </w:rPr>
      </w:pPr>
      <w:r w:rsidRPr="637D6BF0">
        <w:rPr>
          <w:rFonts w:ascii="Work Sans" w:hAnsi="Work Sans"/>
        </w:rPr>
        <w:t>Continuar la a</w:t>
      </w:r>
      <w:r w:rsidR="647791CE" w:rsidRPr="637D6BF0">
        <w:rPr>
          <w:rFonts w:ascii="Work Sans" w:hAnsi="Work Sans"/>
        </w:rPr>
        <w:t>sistencia a la Mesa de “</w:t>
      </w:r>
      <w:r w:rsidR="647791CE" w:rsidRPr="637D6BF0">
        <w:rPr>
          <w:rFonts w:ascii="Work Sans" w:hAnsi="Work Sans"/>
          <w:i/>
          <w:iCs/>
        </w:rPr>
        <w:t>Hoja de Ruta para la Terminación del Proyecto Estratégico de Adecuación de Tierras de Gran Escala del Río Ranchería”.</w:t>
      </w:r>
    </w:p>
    <w:p w14:paraId="159CDD09" w14:textId="6225D253" w:rsidR="0D319830" w:rsidRPr="008D7417" w:rsidRDefault="0D319830" w:rsidP="637D6BF0">
      <w:pPr>
        <w:pStyle w:val="ListParagraph"/>
        <w:jc w:val="both"/>
        <w:rPr>
          <w:rFonts w:ascii="Work Sans" w:hAnsi="Work Sans"/>
        </w:rPr>
      </w:pPr>
    </w:p>
    <w:p w14:paraId="5088F6E6" w14:textId="75F42C26" w:rsidR="0D319830" w:rsidRPr="008D7417" w:rsidRDefault="647791CE" w:rsidP="637D6BF0">
      <w:pPr>
        <w:pStyle w:val="ListParagraph"/>
        <w:numPr>
          <w:ilvl w:val="0"/>
          <w:numId w:val="2"/>
        </w:numPr>
        <w:jc w:val="both"/>
        <w:rPr>
          <w:rFonts w:ascii="Work Sans" w:eastAsia="Work Sans" w:hAnsi="Work Sans" w:cs="Work Sans"/>
        </w:rPr>
      </w:pPr>
      <w:r w:rsidRPr="637D6BF0">
        <w:rPr>
          <w:rFonts w:ascii="Work Sans" w:hAnsi="Work Sans"/>
        </w:rPr>
        <w:t xml:space="preserve">Evaluación de una pequeña central hidroeléctrica con una capacidad entre 7 y 10 megavatios </w:t>
      </w:r>
      <w:r w:rsidRPr="637D6BF0">
        <w:rPr>
          <w:rFonts w:ascii="Work Sans" w:eastAsia="Work Sans" w:hAnsi="Work Sans" w:cs="Work Sans"/>
        </w:rPr>
        <w:t>Para ello, es necesario realizar un estudio de factibilidad que evalúe la viabilidad de su construcción.</w:t>
      </w:r>
    </w:p>
    <w:p w14:paraId="6F067B41" w14:textId="3CEA10B2" w:rsidR="0D319830" w:rsidRPr="008D7417" w:rsidRDefault="0D319830" w:rsidP="637D6BF0">
      <w:pPr>
        <w:pStyle w:val="ListParagraph"/>
        <w:jc w:val="both"/>
        <w:rPr>
          <w:rFonts w:ascii="Work Sans" w:eastAsia="Work Sans" w:hAnsi="Work Sans" w:cs="Work Sans"/>
        </w:rPr>
      </w:pPr>
    </w:p>
    <w:p w14:paraId="12D785C2" w14:textId="4CD8B115" w:rsidR="0D319830" w:rsidRPr="008D7417" w:rsidRDefault="6F359780" w:rsidP="637D6BF0">
      <w:pPr>
        <w:pStyle w:val="ListParagraph"/>
        <w:numPr>
          <w:ilvl w:val="0"/>
          <w:numId w:val="2"/>
        </w:numPr>
        <w:jc w:val="both"/>
        <w:rPr>
          <w:rFonts w:ascii="Work Sans" w:eastAsia="Work Sans" w:hAnsi="Work Sans" w:cs="Work Sans"/>
        </w:rPr>
      </w:pPr>
      <w:r w:rsidRPr="637D6BF0">
        <w:rPr>
          <w:rFonts w:ascii="Work Sans" w:eastAsia="Work Sans" w:hAnsi="Work Sans" w:cs="Work Sans"/>
        </w:rPr>
        <w:t>Diversificación de las fuentes de energía, teniendo en cuenta que existen fuentes renovables de energía estás deben ser combinadas para asegurar una oportuna atención a las comunidades ya que, cada una cuenta con una disponibilidad de recursos que dependiendo del clima y las reservas se complementen entre sí para garantizar la prestación del servicio.</w:t>
      </w:r>
    </w:p>
    <w:p w14:paraId="2F826AC6" w14:textId="1CA73940" w:rsidR="0D319830" w:rsidRPr="008D7417" w:rsidRDefault="6F359780" w:rsidP="637D6BF0">
      <w:pPr>
        <w:rPr>
          <w:rFonts w:ascii="Work Sans" w:hAnsi="Work Sans"/>
          <w:b/>
          <w:bCs/>
        </w:rPr>
      </w:pPr>
      <w:r w:rsidRPr="637D6BF0">
        <w:rPr>
          <w:rFonts w:ascii="Work Sans" w:hAnsi="Work Sans"/>
          <w:b/>
          <w:bCs/>
        </w:rPr>
        <w:t>SENTENCIA PUEBLO WAYUU</w:t>
      </w:r>
    </w:p>
    <w:p w14:paraId="51B55D62" w14:textId="74C60184" w:rsidR="0D319830" w:rsidRPr="008D7417" w:rsidRDefault="6F359780" w:rsidP="637D6BF0">
      <w:pPr>
        <w:jc w:val="both"/>
        <w:rPr>
          <w:rFonts w:ascii="Work Sans" w:hAnsi="Work Sans"/>
        </w:rPr>
      </w:pPr>
      <w:r w:rsidRPr="637D6BF0">
        <w:rPr>
          <w:rFonts w:ascii="Work Sans" w:hAnsi="Work Sans"/>
          <w:b/>
          <w:bCs/>
        </w:rPr>
        <w:t xml:space="preserve">Numero de </w:t>
      </w:r>
      <w:r w:rsidR="03612168" w:rsidRPr="637D6BF0">
        <w:rPr>
          <w:rFonts w:ascii="Work Sans" w:hAnsi="Work Sans"/>
          <w:b/>
          <w:bCs/>
        </w:rPr>
        <w:t>Radicado:</w:t>
      </w:r>
      <w:r w:rsidRPr="637D6BF0">
        <w:rPr>
          <w:rFonts w:ascii="Work Sans" w:hAnsi="Work Sans"/>
          <w:b/>
          <w:bCs/>
        </w:rPr>
        <w:t xml:space="preserve"> </w:t>
      </w:r>
      <w:r w:rsidRPr="637D6BF0">
        <w:rPr>
          <w:rFonts w:ascii="Work Sans" w:hAnsi="Work Sans"/>
        </w:rPr>
        <w:t>Sentencia T-302/17</w:t>
      </w:r>
    </w:p>
    <w:p w14:paraId="6C06BC45" w14:textId="4292DB4C" w:rsidR="0D319830" w:rsidRPr="008D7417" w:rsidRDefault="6F359780" w:rsidP="637D6BF0">
      <w:pPr>
        <w:rPr>
          <w:rFonts w:ascii="Work Sans" w:hAnsi="Work Sans"/>
        </w:rPr>
      </w:pPr>
      <w:r w:rsidRPr="637D6BF0">
        <w:rPr>
          <w:rFonts w:ascii="Work Sans" w:hAnsi="Work Sans"/>
          <w:b/>
          <w:bCs/>
        </w:rPr>
        <w:t>Actoras:</w:t>
      </w:r>
      <w:r w:rsidRPr="637D6BF0">
        <w:rPr>
          <w:rFonts w:ascii="Work Sans" w:hAnsi="Work Sans"/>
        </w:rPr>
        <w:t xml:space="preserve"> </w:t>
      </w:r>
      <w:r w:rsidR="643C8A77" w:rsidRPr="637D6BF0">
        <w:rPr>
          <w:rFonts w:ascii="Work Sans" w:hAnsi="Work Sans"/>
        </w:rPr>
        <w:t xml:space="preserve">Pueblo </w:t>
      </w:r>
      <w:r w:rsidR="24CEF644" w:rsidRPr="637D6BF0">
        <w:rPr>
          <w:rFonts w:ascii="Work Sans" w:hAnsi="Work Sans"/>
        </w:rPr>
        <w:t>Wayúu</w:t>
      </w:r>
    </w:p>
    <w:p w14:paraId="3EB71119" w14:textId="5ADE2D5C" w:rsidR="0D319830" w:rsidRPr="008D7417" w:rsidRDefault="6F359780" w:rsidP="637D6BF0">
      <w:pPr>
        <w:rPr>
          <w:rFonts w:ascii="Work Sans" w:hAnsi="Work Sans"/>
        </w:rPr>
      </w:pPr>
      <w:r w:rsidRPr="637D6BF0">
        <w:rPr>
          <w:rFonts w:ascii="Work Sans" w:hAnsi="Work Sans"/>
          <w:b/>
          <w:bCs/>
        </w:rPr>
        <w:t>RESUMEN EJECUTIVO:</w:t>
      </w:r>
      <w:r w:rsidR="63E7CCC5" w:rsidRPr="637D6BF0">
        <w:rPr>
          <w:rFonts w:ascii="Work Sans" w:hAnsi="Work Sans"/>
          <w:b/>
          <w:bCs/>
        </w:rPr>
        <w:t xml:space="preserve"> </w:t>
      </w:r>
      <w:r w:rsidR="63E7CCC5" w:rsidRPr="637D6BF0">
        <w:rPr>
          <w:rFonts w:ascii="Work Sans" w:hAnsi="Work Sans"/>
        </w:rPr>
        <w:t xml:space="preserve">La Corte Constitucional, confirma </w:t>
      </w:r>
      <w:r w:rsidR="2825D775" w:rsidRPr="637D6BF0">
        <w:rPr>
          <w:rFonts w:ascii="Work Sans" w:hAnsi="Work Sans"/>
        </w:rPr>
        <w:t xml:space="preserve">fallo emitido por el Tribunal Administrativo de la Riohacha mediante </w:t>
      </w:r>
      <w:r w:rsidR="530C1490" w:rsidRPr="637D6BF0">
        <w:rPr>
          <w:rFonts w:ascii="Work Sans" w:hAnsi="Work Sans"/>
        </w:rPr>
        <w:t>acción</w:t>
      </w:r>
      <w:r w:rsidR="2825D775" w:rsidRPr="637D6BF0">
        <w:rPr>
          <w:rFonts w:ascii="Work Sans" w:hAnsi="Work Sans"/>
        </w:rPr>
        <w:t xml:space="preserve"> constitucional </w:t>
      </w:r>
      <w:r w:rsidR="517F0A99" w:rsidRPr="637D6BF0">
        <w:rPr>
          <w:rFonts w:ascii="Work Sans" w:hAnsi="Work Sans"/>
        </w:rPr>
        <w:t xml:space="preserve">en la que se busca la protección de derechos fundamentales para </w:t>
      </w:r>
      <w:bookmarkStart w:id="0" w:name="_Int_eVyGViSW"/>
      <w:r w:rsidR="517F0A99" w:rsidRPr="637D6BF0">
        <w:rPr>
          <w:rFonts w:ascii="Work Sans" w:hAnsi="Work Sans"/>
        </w:rPr>
        <w:t>los niños y niñas</w:t>
      </w:r>
      <w:bookmarkEnd w:id="0"/>
      <w:r w:rsidR="517F0A99" w:rsidRPr="637D6BF0">
        <w:rPr>
          <w:rFonts w:ascii="Work Sans" w:hAnsi="Work Sans"/>
        </w:rPr>
        <w:t xml:space="preserve"> del pueblo </w:t>
      </w:r>
      <w:r w:rsidR="37BC0823" w:rsidRPr="637D6BF0">
        <w:rPr>
          <w:rFonts w:ascii="Work Sans" w:hAnsi="Work Sans"/>
        </w:rPr>
        <w:t>Wayúu</w:t>
      </w:r>
      <w:r w:rsidR="517F0A99" w:rsidRPr="637D6BF0">
        <w:rPr>
          <w:rFonts w:ascii="Work Sans" w:hAnsi="Work Sans"/>
        </w:rPr>
        <w:t>, en los municipios de Riohacha, Manaure, Maicao y Uribia.</w:t>
      </w:r>
    </w:p>
    <w:p w14:paraId="3C768EBA" w14:textId="6D0985A2" w:rsidR="0D319830" w:rsidRPr="008D7417" w:rsidRDefault="463CDE1F" w:rsidP="637D6BF0">
      <w:pPr>
        <w:rPr>
          <w:rFonts w:ascii="Work Sans" w:hAnsi="Work Sans"/>
          <w:b/>
          <w:bCs/>
        </w:rPr>
      </w:pPr>
      <w:r w:rsidRPr="637D6BF0">
        <w:rPr>
          <w:rFonts w:ascii="Work Sans" w:hAnsi="Work Sans"/>
          <w:b/>
          <w:bCs/>
        </w:rPr>
        <w:t>ANTECEDENTES:</w:t>
      </w:r>
    </w:p>
    <w:p w14:paraId="5CE1DBD9" w14:textId="61C06C45" w:rsidR="0D319830" w:rsidRPr="008D7417" w:rsidRDefault="39917B2F" w:rsidP="637D6BF0">
      <w:pPr>
        <w:jc w:val="both"/>
        <w:rPr>
          <w:rFonts w:ascii="Work Sans" w:hAnsi="Work Sans"/>
        </w:rPr>
      </w:pPr>
      <w:r w:rsidRPr="637D6BF0">
        <w:rPr>
          <w:rFonts w:ascii="Work Sans" w:hAnsi="Work Sans"/>
        </w:rPr>
        <w:t xml:space="preserve">La Acción de Tutela </w:t>
      </w:r>
      <w:r w:rsidR="11706394" w:rsidRPr="637D6BF0">
        <w:rPr>
          <w:rFonts w:ascii="Work Sans" w:hAnsi="Work Sans"/>
        </w:rPr>
        <w:t xml:space="preserve">es </w:t>
      </w:r>
      <w:r w:rsidRPr="637D6BF0">
        <w:rPr>
          <w:rFonts w:ascii="Work Sans" w:hAnsi="Work Sans"/>
        </w:rPr>
        <w:t xml:space="preserve">presentada mediante agente oficioso en </w:t>
      </w:r>
      <w:r w:rsidR="4CA7499F" w:rsidRPr="637D6BF0">
        <w:rPr>
          <w:rFonts w:ascii="Work Sans" w:hAnsi="Work Sans"/>
        </w:rPr>
        <w:t>representación</w:t>
      </w:r>
      <w:r w:rsidRPr="637D6BF0">
        <w:rPr>
          <w:rFonts w:ascii="Work Sans" w:hAnsi="Work Sans"/>
        </w:rPr>
        <w:t xml:space="preserve"> de </w:t>
      </w:r>
      <w:r w:rsidR="0606D698" w:rsidRPr="637D6BF0">
        <w:rPr>
          <w:rFonts w:ascii="Work Sans" w:hAnsi="Work Sans"/>
        </w:rPr>
        <w:t>los niños</w:t>
      </w:r>
      <w:r w:rsidRPr="637D6BF0">
        <w:rPr>
          <w:rFonts w:ascii="Work Sans" w:hAnsi="Work Sans"/>
        </w:rPr>
        <w:t xml:space="preserve"> del pueblo Wayuu donde ordena que se tomen las medidas adecuadas y necesarias para constituir un Mecanismo Especial de Seguimiento y Evaluación de las Políticas Públicas para la superación del estado de cosas inconstitucional constatado</w:t>
      </w:r>
      <w:r w:rsidR="6F6EB47A" w:rsidRPr="637D6BF0">
        <w:rPr>
          <w:rFonts w:ascii="Work Sans" w:hAnsi="Work Sans"/>
        </w:rPr>
        <w:t xml:space="preserve"> y de tal modo se </w:t>
      </w:r>
      <w:r w:rsidR="42E24DB2" w:rsidRPr="637D6BF0">
        <w:rPr>
          <w:rFonts w:ascii="Work Sans" w:hAnsi="Work Sans"/>
        </w:rPr>
        <w:t>garanticen</w:t>
      </w:r>
      <w:r w:rsidR="6F6EB47A" w:rsidRPr="637D6BF0">
        <w:rPr>
          <w:rFonts w:ascii="Work Sans" w:hAnsi="Work Sans"/>
        </w:rPr>
        <w:t xml:space="preserve"> los derechos de </w:t>
      </w:r>
      <w:r w:rsidR="5CEFED2F" w:rsidRPr="637D6BF0">
        <w:rPr>
          <w:rFonts w:ascii="Work Sans" w:hAnsi="Work Sans"/>
        </w:rPr>
        <w:t>los niños</w:t>
      </w:r>
      <w:r w:rsidR="6F6EB47A" w:rsidRPr="637D6BF0">
        <w:rPr>
          <w:rFonts w:ascii="Work Sans" w:hAnsi="Work Sans"/>
        </w:rPr>
        <w:t xml:space="preserve"> del pueblo Wayúu al agua, a la alimentación, a la salud, a la igualdad y a la diversidad cultural.  </w:t>
      </w:r>
    </w:p>
    <w:p w14:paraId="32E4D97B" w14:textId="4563CC81" w:rsidR="0D319830" w:rsidRPr="008D7417" w:rsidRDefault="4A7C0C52" w:rsidP="637D6BF0">
      <w:pPr>
        <w:jc w:val="both"/>
        <w:rPr>
          <w:rFonts w:ascii="Work Sans" w:eastAsia="Work Sans" w:hAnsi="Work Sans" w:cs="Work Sans"/>
        </w:rPr>
      </w:pPr>
      <w:r w:rsidRPr="1E1DCB93">
        <w:rPr>
          <w:rFonts w:ascii="Work Sans" w:hAnsi="Work Sans"/>
        </w:rPr>
        <w:t>La Sentencia refiere objetivos mínimo-</w:t>
      </w:r>
      <w:r w:rsidR="1D997E57" w:rsidRPr="1E1DCB93">
        <w:rPr>
          <w:rFonts w:ascii="Work Sans" w:hAnsi="Work Sans"/>
        </w:rPr>
        <w:t>constitucionales.</w:t>
      </w:r>
      <w:r w:rsidRPr="1E1DCB93">
        <w:rPr>
          <w:rFonts w:ascii="Work Sans" w:hAnsi="Work Sans"/>
        </w:rPr>
        <w:t xml:space="preserve"> El Tribunal Superior de </w:t>
      </w:r>
      <w:r w:rsidR="428D13F2" w:rsidRPr="1E1DCB93">
        <w:rPr>
          <w:rFonts w:ascii="Work Sans" w:hAnsi="Work Sans"/>
        </w:rPr>
        <w:t>Riohacha mediante</w:t>
      </w:r>
      <w:r w:rsidRPr="1E1DCB93">
        <w:rPr>
          <w:rFonts w:ascii="Work Sans" w:hAnsi="Work Sans"/>
        </w:rPr>
        <w:t xml:space="preserve"> Auto del 12 de marzo de 2020 aprobó la propuesta formulada por la Presidencia de la </w:t>
      </w:r>
      <w:r w:rsidR="46BEB042" w:rsidRPr="1E1DCB93">
        <w:rPr>
          <w:rFonts w:ascii="Work Sans" w:hAnsi="Work Sans"/>
        </w:rPr>
        <w:t>República para</w:t>
      </w:r>
      <w:r w:rsidRPr="1E1DCB93">
        <w:rPr>
          <w:rFonts w:ascii="Work Sans" w:hAnsi="Work Sans"/>
        </w:rPr>
        <w:t xml:space="preserve"> la construcción del Mecanismo Especial de Seguimiento y Evaluación de Políticas Públicas para </w:t>
      </w:r>
      <w:r w:rsidR="44B07838" w:rsidRPr="1E1DCB93">
        <w:rPr>
          <w:rFonts w:ascii="Work Sans" w:hAnsi="Work Sans"/>
        </w:rPr>
        <w:t>la superación</w:t>
      </w:r>
      <w:r w:rsidRPr="1E1DCB93">
        <w:rPr>
          <w:rFonts w:ascii="Work Sans" w:hAnsi="Work Sans"/>
        </w:rPr>
        <w:t xml:space="preserve"> del Estado de Cosas Inconstitucional ordenado en esta sentencia y, en el mismo Auto, se </w:t>
      </w:r>
      <w:r w:rsidR="1D9B6F21" w:rsidRPr="1E1DCB93">
        <w:rPr>
          <w:rFonts w:ascii="Work Sans" w:hAnsi="Work Sans"/>
        </w:rPr>
        <w:t>otorgó el</w:t>
      </w:r>
      <w:r w:rsidRPr="1E1DCB93">
        <w:rPr>
          <w:rFonts w:ascii="Work Sans" w:hAnsi="Work Sans"/>
        </w:rPr>
        <w:t xml:space="preserve"> plazo de 6 meses para entregar este mecanismo especial. Durante este periodo se logró la consolidación de este mecanismo especial bajo la dirección de la Comisión para las Regiones de la presidencia de la República.</w:t>
      </w:r>
    </w:p>
    <w:p w14:paraId="528647AE" w14:textId="462A80E1" w:rsidR="0D319830" w:rsidRPr="008D7417" w:rsidRDefault="09E1B9BF" w:rsidP="637D6BF0">
      <w:pPr>
        <w:jc w:val="both"/>
        <w:rPr>
          <w:rFonts w:ascii="Work Sans" w:hAnsi="Work Sans"/>
        </w:rPr>
      </w:pPr>
      <w:r w:rsidRPr="637D6BF0">
        <w:rPr>
          <w:rFonts w:ascii="Work Sans" w:hAnsi="Work Sans"/>
        </w:rPr>
        <w:t>Actualmente, el Ministerio del Interior junto con la Consejería Presidencial para las Regiones están liderando la consulta previa de la oferta institucional para el cumplimiento de esta sentencia en la que se encuentran involucradas entidades de gobierno.</w:t>
      </w:r>
    </w:p>
    <w:p w14:paraId="2BC63A42" w14:textId="698826BA" w:rsidR="0D319830" w:rsidRPr="008D7417" w:rsidRDefault="71DF4C03" w:rsidP="637D6BF0">
      <w:pPr>
        <w:rPr>
          <w:rFonts w:ascii="Work Sans" w:hAnsi="Work Sans"/>
          <w:b/>
          <w:bCs/>
        </w:rPr>
      </w:pPr>
      <w:r w:rsidRPr="637D6BF0">
        <w:rPr>
          <w:rFonts w:ascii="Work Sans" w:hAnsi="Work Sans"/>
          <w:b/>
          <w:bCs/>
        </w:rPr>
        <w:t xml:space="preserve">ACCIONES </w:t>
      </w:r>
      <w:r w:rsidR="0ACB24B6" w:rsidRPr="637D6BF0">
        <w:rPr>
          <w:rFonts w:ascii="Work Sans" w:hAnsi="Work Sans"/>
          <w:b/>
          <w:bCs/>
        </w:rPr>
        <w:t>REALIZADAS POR EL MINISTERIO:</w:t>
      </w:r>
    </w:p>
    <w:p w14:paraId="6A72010F" w14:textId="550C206F" w:rsidR="0D319830" w:rsidRPr="008D7417" w:rsidRDefault="0ACB24B6" w:rsidP="637D6BF0">
      <w:pPr>
        <w:jc w:val="both"/>
        <w:rPr>
          <w:rFonts w:ascii="Work Sans" w:hAnsi="Work Sans"/>
        </w:rPr>
      </w:pPr>
      <w:r w:rsidRPr="637D6BF0">
        <w:rPr>
          <w:rFonts w:ascii="Work Sans" w:hAnsi="Work Sans"/>
        </w:rPr>
        <w:t xml:space="preserve">El 10 de octubre de </w:t>
      </w:r>
      <w:r w:rsidR="353397D3" w:rsidRPr="637D6BF0">
        <w:rPr>
          <w:rFonts w:ascii="Work Sans" w:hAnsi="Work Sans"/>
        </w:rPr>
        <w:t>2024 el</w:t>
      </w:r>
      <w:r w:rsidRPr="637D6BF0">
        <w:rPr>
          <w:rFonts w:ascii="Work Sans" w:hAnsi="Work Sans"/>
        </w:rPr>
        <w:t xml:space="preserve"> Ministerio del Interior mediante Radicado 2024-2-002400-052876 se convocó a las entidades del gobierno nacional y territorial a una reunión para iniciar el proceso de consulta previa, en cumplimiento de la Sentencia T-302 de 2017. Esta reunión busco consolidar la propuesta del Plan Estructural de Acción, en diálogo con el pueblo indígena Wayúu.  </w:t>
      </w:r>
    </w:p>
    <w:p w14:paraId="256ADB3F" w14:textId="0ADF6968" w:rsidR="0D319830" w:rsidRPr="008D7417" w:rsidRDefault="4B3E8240" w:rsidP="637D6BF0">
      <w:pPr>
        <w:jc w:val="both"/>
        <w:rPr>
          <w:rFonts w:ascii="Work Sans" w:hAnsi="Work Sans"/>
        </w:rPr>
      </w:pPr>
      <w:r w:rsidRPr="637D6BF0">
        <w:rPr>
          <w:rFonts w:ascii="Work Sans" w:hAnsi="Work Sans"/>
        </w:rPr>
        <w:t xml:space="preserve">Este cambio responde a solicitudes de entidades de gobierno para facilitar la fase institucional de consolidación del Plan. El pueblo indígena Wayúu ha solicitado que la implementación de la consulta inicie el 4 de noviembre, en respeto a su cultura, debido a la conmemoración del Día de los Difuntos. Se destaca la importancia de que los sectores y comités técnicos entreguen sus propuestas a la Consejería Presidencial, para ser revisadas y analizadas, asegurando el cumplimiento del derecho a la consulta previa y el desarrollo de medidas para garantizar los derechos de la población Wayúu.  </w:t>
      </w:r>
    </w:p>
    <w:p w14:paraId="4A27C41F" w14:textId="0B5FD0C0" w:rsidR="0D319830" w:rsidRPr="008D7417" w:rsidRDefault="4B3E8240" w:rsidP="637D6BF0">
      <w:pPr>
        <w:jc w:val="both"/>
        <w:rPr>
          <w:rFonts w:ascii="Work Sans" w:hAnsi="Work Sans"/>
        </w:rPr>
      </w:pPr>
      <w:r w:rsidRPr="637D6BF0">
        <w:rPr>
          <w:rFonts w:ascii="Work Sans" w:hAnsi="Work Sans"/>
        </w:rPr>
        <w:t xml:space="preserve">Ahora bien, de las reuniones realizadas se han materializado seis (6) propuestas las cuales son:  </w:t>
      </w:r>
    </w:p>
    <w:p w14:paraId="7CCB7ACA" w14:textId="6CF40F6F"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Analizar el uso del agua otorgado a los proyectos minero-energéticos, de agricultura y ganadería en el Departamento. </w:t>
      </w:r>
    </w:p>
    <w:p w14:paraId="5086FF08" w14:textId="14678978"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Frente al tema de agua potable y saneamiento básico se debe diseñar y ejecutar programas auto sostenibles que permitan el consumo por parte de los pobladores rurales con el fin de disminuir las enfermedades diarreicas agudas que es uno de los factores que incide en la muerte de menores de edad asociadas a la desnutrición aguda ; así mismo , las soluciones de agua potable a implementar en las comunidades indígenas deben contar con los estándares de calidad en materia de potabilización y operación de los sistemas de bombeo y extracción mediante la utilización de energías alternativas. </w:t>
      </w:r>
    </w:p>
    <w:p w14:paraId="6A698A22" w14:textId="1587104A"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Demandar las acciones de reinversión social de la empresa carbonífera el Cerrejón, ante tantos años de ausencia de compromisos frente a la restauración comunitaria frente a afectaciones territoriales y ambientales con consecuencias para la salud y demás. </w:t>
      </w:r>
    </w:p>
    <w:p w14:paraId="7EEE862A" w14:textId="07D24754"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Realizar el proceso de consulta previa para la prórroga de la concesión</w:t>
      </w:r>
    </w:p>
    <w:p w14:paraId="43B147AD" w14:textId="35010DB0" w:rsidR="0D319830" w:rsidRPr="008D7417" w:rsidRDefault="69AF7313" w:rsidP="637D6BF0">
      <w:pPr>
        <w:pStyle w:val="ListParagraph"/>
        <w:numPr>
          <w:ilvl w:val="0"/>
          <w:numId w:val="1"/>
        </w:numPr>
        <w:jc w:val="both"/>
        <w:rPr>
          <w:rFonts w:ascii="Work Sans" w:hAnsi="Work Sans"/>
        </w:rPr>
      </w:pPr>
      <w:r w:rsidRPr="637D6BF0">
        <w:rPr>
          <w:rFonts w:ascii="Work Sans" w:eastAsia="Work Sans" w:hAnsi="Work Sans" w:cs="Work Sans"/>
          <w:color w:val="000000" w:themeColor="text1"/>
        </w:rPr>
        <w:t xml:space="preserve">Contar con agua potable y energía renovable </w:t>
      </w:r>
      <w:r w:rsidRPr="637D6BF0">
        <w:t xml:space="preserve"> </w:t>
      </w:r>
      <w:r w:rsidR="0ACB24B6" w:rsidRPr="637D6BF0">
        <w:rPr>
          <w:rFonts w:ascii="Work Sans" w:hAnsi="Work Sans"/>
        </w:rPr>
        <w:t xml:space="preserve"> </w:t>
      </w:r>
    </w:p>
    <w:sectPr w:rsidR="0D319830" w:rsidRPr="008D74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Work Sans">
    <w:altName w:val="Calibri"/>
    <w:charset w:val="00"/>
    <w:family w:val="auto"/>
    <w:pitch w:val="variable"/>
    <w:sig w:usb0="A00000FF" w:usb1="5000E07B" w:usb2="00000000" w:usb3="00000000" w:csb0="000001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eVyGViSW" int2:invalidationBookmarkName="" int2:hashCode="SG1gaBdBfBQkC5" int2:id="lpbf2TP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6FC3E"/>
    <w:multiLevelType w:val="hybridMultilevel"/>
    <w:tmpl w:val="BCDCD722"/>
    <w:lvl w:ilvl="0" w:tplc="AAFE49AE">
      <w:start w:val="4"/>
      <w:numFmt w:val="decimal"/>
      <w:lvlText w:val="%1."/>
      <w:lvlJc w:val="left"/>
      <w:pPr>
        <w:ind w:left="720" w:hanging="360"/>
      </w:pPr>
    </w:lvl>
    <w:lvl w:ilvl="1" w:tplc="1C822ABA">
      <w:start w:val="1"/>
      <w:numFmt w:val="lowerLetter"/>
      <w:lvlText w:val="%2."/>
      <w:lvlJc w:val="left"/>
      <w:pPr>
        <w:ind w:left="1440" w:hanging="360"/>
      </w:pPr>
    </w:lvl>
    <w:lvl w:ilvl="2" w:tplc="91F0431E">
      <w:start w:val="1"/>
      <w:numFmt w:val="lowerRoman"/>
      <w:lvlText w:val="%3."/>
      <w:lvlJc w:val="right"/>
      <w:pPr>
        <w:ind w:left="2160" w:hanging="180"/>
      </w:pPr>
    </w:lvl>
    <w:lvl w:ilvl="3" w:tplc="518CE27A">
      <w:start w:val="1"/>
      <w:numFmt w:val="decimal"/>
      <w:lvlText w:val="%4."/>
      <w:lvlJc w:val="left"/>
      <w:pPr>
        <w:ind w:left="2880" w:hanging="360"/>
      </w:pPr>
    </w:lvl>
    <w:lvl w:ilvl="4" w:tplc="EF94B73A">
      <w:start w:val="1"/>
      <w:numFmt w:val="lowerLetter"/>
      <w:lvlText w:val="%5."/>
      <w:lvlJc w:val="left"/>
      <w:pPr>
        <w:ind w:left="3600" w:hanging="360"/>
      </w:pPr>
    </w:lvl>
    <w:lvl w:ilvl="5" w:tplc="BA2CAF22">
      <w:start w:val="1"/>
      <w:numFmt w:val="lowerRoman"/>
      <w:lvlText w:val="%6."/>
      <w:lvlJc w:val="right"/>
      <w:pPr>
        <w:ind w:left="4320" w:hanging="180"/>
      </w:pPr>
    </w:lvl>
    <w:lvl w:ilvl="6" w:tplc="3F4EF040">
      <w:start w:val="1"/>
      <w:numFmt w:val="decimal"/>
      <w:lvlText w:val="%7."/>
      <w:lvlJc w:val="left"/>
      <w:pPr>
        <w:ind w:left="5040" w:hanging="360"/>
      </w:pPr>
    </w:lvl>
    <w:lvl w:ilvl="7" w:tplc="525A9630">
      <w:start w:val="1"/>
      <w:numFmt w:val="lowerLetter"/>
      <w:lvlText w:val="%8."/>
      <w:lvlJc w:val="left"/>
      <w:pPr>
        <w:ind w:left="5760" w:hanging="360"/>
      </w:pPr>
    </w:lvl>
    <w:lvl w:ilvl="8" w:tplc="1C3A580C">
      <w:start w:val="1"/>
      <w:numFmt w:val="lowerRoman"/>
      <w:lvlText w:val="%9."/>
      <w:lvlJc w:val="right"/>
      <w:pPr>
        <w:ind w:left="6480" w:hanging="180"/>
      </w:pPr>
    </w:lvl>
  </w:abstractNum>
  <w:abstractNum w:abstractNumId="1" w15:restartNumberingAfterBreak="0">
    <w:nsid w:val="2E9702FA"/>
    <w:multiLevelType w:val="hybridMultilevel"/>
    <w:tmpl w:val="E52454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116735"/>
    <w:multiLevelType w:val="multilevel"/>
    <w:tmpl w:val="6392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20B930"/>
    <w:multiLevelType w:val="hybridMultilevel"/>
    <w:tmpl w:val="FFFFFFFF"/>
    <w:lvl w:ilvl="0" w:tplc="5AEC9516">
      <w:start w:val="1"/>
      <w:numFmt w:val="bullet"/>
      <w:lvlText w:val=""/>
      <w:lvlJc w:val="left"/>
      <w:pPr>
        <w:ind w:left="720" w:hanging="360"/>
      </w:pPr>
      <w:rPr>
        <w:rFonts w:ascii="Symbol" w:hAnsi="Symbol" w:hint="default"/>
      </w:rPr>
    </w:lvl>
    <w:lvl w:ilvl="1" w:tplc="0E8A2FE2">
      <w:start w:val="1"/>
      <w:numFmt w:val="bullet"/>
      <w:lvlText w:val="o"/>
      <w:lvlJc w:val="left"/>
      <w:pPr>
        <w:ind w:left="1440" w:hanging="360"/>
      </w:pPr>
      <w:rPr>
        <w:rFonts w:ascii="Courier New" w:hAnsi="Courier New" w:hint="default"/>
      </w:rPr>
    </w:lvl>
    <w:lvl w:ilvl="2" w:tplc="4738C402">
      <w:start w:val="1"/>
      <w:numFmt w:val="bullet"/>
      <w:lvlText w:val=""/>
      <w:lvlJc w:val="left"/>
      <w:pPr>
        <w:ind w:left="2160" w:hanging="360"/>
      </w:pPr>
      <w:rPr>
        <w:rFonts w:ascii="Wingdings" w:hAnsi="Wingdings" w:hint="default"/>
      </w:rPr>
    </w:lvl>
    <w:lvl w:ilvl="3" w:tplc="3BAEEC3E">
      <w:start w:val="1"/>
      <w:numFmt w:val="bullet"/>
      <w:lvlText w:val=""/>
      <w:lvlJc w:val="left"/>
      <w:pPr>
        <w:ind w:left="2880" w:hanging="360"/>
      </w:pPr>
      <w:rPr>
        <w:rFonts w:ascii="Symbol" w:hAnsi="Symbol" w:hint="default"/>
      </w:rPr>
    </w:lvl>
    <w:lvl w:ilvl="4" w:tplc="8AD0F010">
      <w:start w:val="1"/>
      <w:numFmt w:val="bullet"/>
      <w:lvlText w:val="o"/>
      <w:lvlJc w:val="left"/>
      <w:pPr>
        <w:ind w:left="3600" w:hanging="360"/>
      </w:pPr>
      <w:rPr>
        <w:rFonts w:ascii="Courier New" w:hAnsi="Courier New" w:hint="default"/>
      </w:rPr>
    </w:lvl>
    <w:lvl w:ilvl="5" w:tplc="2EBE74D2">
      <w:start w:val="1"/>
      <w:numFmt w:val="bullet"/>
      <w:lvlText w:val=""/>
      <w:lvlJc w:val="left"/>
      <w:pPr>
        <w:ind w:left="4320" w:hanging="360"/>
      </w:pPr>
      <w:rPr>
        <w:rFonts w:ascii="Wingdings" w:hAnsi="Wingdings" w:hint="default"/>
      </w:rPr>
    </w:lvl>
    <w:lvl w:ilvl="6" w:tplc="227A27F2">
      <w:start w:val="1"/>
      <w:numFmt w:val="bullet"/>
      <w:lvlText w:val=""/>
      <w:lvlJc w:val="left"/>
      <w:pPr>
        <w:ind w:left="5040" w:hanging="360"/>
      </w:pPr>
      <w:rPr>
        <w:rFonts w:ascii="Symbol" w:hAnsi="Symbol" w:hint="default"/>
      </w:rPr>
    </w:lvl>
    <w:lvl w:ilvl="7" w:tplc="F3548274">
      <w:start w:val="1"/>
      <w:numFmt w:val="bullet"/>
      <w:lvlText w:val="o"/>
      <w:lvlJc w:val="left"/>
      <w:pPr>
        <w:ind w:left="5760" w:hanging="360"/>
      </w:pPr>
      <w:rPr>
        <w:rFonts w:ascii="Courier New" w:hAnsi="Courier New" w:hint="default"/>
      </w:rPr>
    </w:lvl>
    <w:lvl w:ilvl="8" w:tplc="14CAF2EC">
      <w:start w:val="1"/>
      <w:numFmt w:val="bullet"/>
      <w:lvlText w:val=""/>
      <w:lvlJc w:val="left"/>
      <w:pPr>
        <w:ind w:left="6480" w:hanging="360"/>
      </w:pPr>
      <w:rPr>
        <w:rFonts w:ascii="Wingdings" w:hAnsi="Wingdings" w:hint="default"/>
      </w:rPr>
    </w:lvl>
  </w:abstractNum>
  <w:abstractNum w:abstractNumId="4" w15:restartNumberingAfterBreak="0">
    <w:nsid w:val="39B93E8E"/>
    <w:multiLevelType w:val="hybridMultilevel"/>
    <w:tmpl w:val="FFFFFFFF"/>
    <w:lvl w:ilvl="0" w:tplc="8604B3E8">
      <w:start w:val="1"/>
      <w:numFmt w:val="decimal"/>
      <w:lvlText w:val="%1."/>
      <w:lvlJc w:val="left"/>
      <w:pPr>
        <w:ind w:left="720" w:hanging="360"/>
      </w:pPr>
    </w:lvl>
    <w:lvl w:ilvl="1" w:tplc="5DECA264">
      <w:start w:val="1"/>
      <w:numFmt w:val="lowerLetter"/>
      <w:lvlText w:val="%2."/>
      <w:lvlJc w:val="left"/>
      <w:pPr>
        <w:ind w:left="1440" w:hanging="360"/>
      </w:pPr>
    </w:lvl>
    <w:lvl w:ilvl="2" w:tplc="5038CB2A">
      <w:start w:val="1"/>
      <w:numFmt w:val="lowerRoman"/>
      <w:lvlText w:val="%3."/>
      <w:lvlJc w:val="right"/>
      <w:pPr>
        <w:ind w:left="2160" w:hanging="180"/>
      </w:pPr>
    </w:lvl>
    <w:lvl w:ilvl="3" w:tplc="ACF00F16">
      <w:start w:val="1"/>
      <w:numFmt w:val="decimal"/>
      <w:lvlText w:val="%4."/>
      <w:lvlJc w:val="left"/>
      <w:pPr>
        <w:ind w:left="2880" w:hanging="360"/>
      </w:pPr>
    </w:lvl>
    <w:lvl w:ilvl="4" w:tplc="03AA0F0E">
      <w:start w:val="1"/>
      <w:numFmt w:val="lowerLetter"/>
      <w:lvlText w:val="%5."/>
      <w:lvlJc w:val="left"/>
      <w:pPr>
        <w:ind w:left="3600" w:hanging="360"/>
      </w:pPr>
    </w:lvl>
    <w:lvl w:ilvl="5" w:tplc="E91EA210">
      <w:start w:val="1"/>
      <w:numFmt w:val="lowerRoman"/>
      <w:lvlText w:val="%6."/>
      <w:lvlJc w:val="right"/>
      <w:pPr>
        <w:ind w:left="4320" w:hanging="180"/>
      </w:pPr>
    </w:lvl>
    <w:lvl w:ilvl="6" w:tplc="AB600268">
      <w:start w:val="1"/>
      <w:numFmt w:val="decimal"/>
      <w:lvlText w:val="%7."/>
      <w:lvlJc w:val="left"/>
      <w:pPr>
        <w:ind w:left="5040" w:hanging="360"/>
      </w:pPr>
    </w:lvl>
    <w:lvl w:ilvl="7" w:tplc="A89870B0">
      <w:start w:val="1"/>
      <w:numFmt w:val="lowerLetter"/>
      <w:lvlText w:val="%8."/>
      <w:lvlJc w:val="left"/>
      <w:pPr>
        <w:ind w:left="5760" w:hanging="360"/>
      </w:pPr>
    </w:lvl>
    <w:lvl w:ilvl="8" w:tplc="8746F51C">
      <w:start w:val="1"/>
      <w:numFmt w:val="lowerRoman"/>
      <w:lvlText w:val="%9."/>
      <w:lvlJc w:val="right"/>
      <w:pPr>
        <w:ind w:left="6480" w:hanging="180"/>
      </w:pPr>
    </w:lvl>
  </w:abstractNum>
  <w:abstractNum w:abstractNumId="5" w15:restartNumberingAfterBreak="0">
    <w:nsid w:val="416F0EAE"/>
    <w:multiLevelType w:val="multilevel"/>
    <w:tmpl w:val="9534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0E7049"/>
    <w:multiLevelType w:val="multilevel"/>
    <w:tmpl w:val="F9CC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4975877">
    <w:abstractNumId w:val="3"/>
  </w:num>
  <w:num w:numId="2" w16cid:durableId="107168884">
    <w:abstractNumId w:val="4"/>
  </w:num>
  <w:num w:numId="3" w16cid:durableId="1761827100">
    <w:abstractNumId w:val="0"/>
  </w:num>
  <w:num w:numId="4" w16cid:durableId="445270004">
    <w:abstractNumId w:val="5"/>
  </w:num>
  <w:num w:numId="5" w16cid:durableId="968243119">
    <w:abstractNumId w:val="2"/>
  </w:num>
  <w:num w:numId="6" w16cid:durableId="678431008">
    <w:abstractNumId w:val="6"/>
  </w:num>
  <w:num w:numId="7" w16cid:durableId="2010673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C6"/>
    <w:rsid w:val="00041A77"/>
    <w:rsid w:val="000B0869"/>
    <w:rsid w:val="000C0DB1"/>
    <w:rsid w:val="00107506"/>
    <w:rsid w:val="00115FD0"/>
    <w:rsid w:val="0011630C"/>
    <w:rsid w:val="001434CC"/>
    <w:rsid w:val="00153D50"/>
    <w:rsid w:val="00166C9B"/>
    <w:rsid w:val="00170115"/>
    <w:rsid w:val="0018278E"/>
    <w:rsid w:val="001E0142"/>
    <w:rsid w:val="001E5044"/>
    <w:rsid w:val="001E64FD"/>
    <w:rsid w:val="002274D9"/>
    <w:rsid w:val="00253ECC"/>
    <w:rsid w:val="0026365D"/>
    <w:rsid w:val="00263E46"/>
    <w:rsid w:val="00272F30"/>
    <w:rsid w:val="00277A1F"/>
    <w:rsid w:val="002B1CFD"/>
    <w:rsid w:val="00303A03"/>
    <w:rsid w:val="0031261B"/>
    <w:rsid w:val="00320319"/>
    <w:rsid w:val="003378E8"/>
    <w:rsid w:val="00337EE1"/>
    <w:rsid w:val="003927A7"/>
    <w:rsid w:val="003A6A91"/>
    <w:rsid w:val="003A6EE5"/>
    <w:rsid w:val="003A7F76"/>
    <w:rsid w:val="003D7ECB"/>
    <w:rsid w:val="00425E5B"/>
    <w:rsid w:val="00426118"/>
    <w:rsid w:val="004D51A7"/>
    <w:rsid w:val="00507500"/>
    <w:rsid w:val="00526AB5"/>
    <w:rsid w:val="005524DA"/>
    <w:rsid w:val="005674AF"/>
    <w:rsid w:val="00573550"/>
    <w:rsid w:val="0059390A"/>
    <w:rsid w:val="005C29E8"/>
    <w:rsid w:val="005C5997"/>
    <w:rsid w:val="005D32C6"/>
    <w:rsid w:val="00601919"/>
    <w:rsid w:val="00605B93"/>
    <w:rsid w:val="00633E15"/>
    <w:rsid w:val="0063505F"/>
    <w:rsid w:val="006400B4"/>
    <w:rsid w:val="00680132"/>
    <w:rsid w:val="006A3176"/>
    <w:rsid w:val="006E0C4A"/>
    <w:rsid w:val="006E4CD7"/>
    <w:rsid w:val="00700112"/>
    <w:rsid w:val="00717283"/>
    <w:rsid w:val="00721342"/>
    <w:rsid w:val="0074710C"/>
    <w:rsid w:val="00753576"/>
    <w:rsid w:val="007E679A"/>
    <w:rsid w:val="00803A37"/>
    <w:rsid w:val="008134F4"/>
    <w:rsid w:val="008522D5"/>
    <w:rsid w:val="008568AC"/>
    <w:rsid w:val="00857845"/>
    <w:rsid w:val="00860F04"/>
    <w:rsid w:val="008A7FA8"/>
    <w:rsid w:val="008C35A9"/>
    <w:rsid w:val="008D7417"/>
    <w:rsid w:val="008F5497"/>
    <w:rsid w:val="009130D5"/>
    <w:rsid w:val="00941D85"/>
    <w:rsid w:val="009464EF"/>
    <w:rsid w:val="00954FFE"/>
    <w:rsid w:val="009771F1"/>
    <w:rsid w:val="00991DA9"/>
    <w:rsid w:val="00991DDD"/>
    <w:rsid w:val="00996B94"/>
    <w:rsid w:val="009A77BF"/>
    <w:rsid w:val="009F6CF4"/>
    <w:rsid w:val="00A016F2"/>
    <w:rsid w:val="00A17239"/>
    <w:rsid w:val="00A25879"/>
    <w:rsid w:val="00A25B2E"/>
    <w:rsid w:val="00A47ACF"/>
    <w:rsid w:val="00A60853"/>
    <w:rsid w:val="00A63F8B"/>
    <w:rsid w:val="00A65517"/>
    <w:rsid w:val="00A77764"/>
    <w:rsid w:val="00AB45A4"/>
    <w:rsid w:val="00AD7B59"/>
    <w:rsid w:val="00AF66BA"/>
    <w:rsid w:val="00B6461E"/>
    <w:rsid w:val="00B7396E"/>
    <w:rsid w:val="00B844C4"/>
    <w:rsid w:val="00B86099"/>
    <w:rsid w:val="00B93597"/>
    <w:rsid w:val="00BA7A49"/>
    <w:rsid w:val="00BA7AF1"/>
    <w:rsid w:val="00BC71DB"/>
    <w:rsid w:val="00BC7B45"/>
    <w:rsid w:val="00C456BF"/>
    <w:rsid w:val="00C57185"/>
    <w:rsid w:val="00C6134A"/>
    <w:rsid w:val="00CC4C7B"/>
    <w:rsid w:val="00CE4F5F"/>
    <w:rsid w:val="00D15AF3"/>
    <w:rsid w:val="00DA4C37"/>
    <w:rsid w:val="00DB4CB0"/>
    <w:rsid w:val="00DB6010"/>
    <w:rsid w:val="00DC0F56"/>
    <w:rsid w:val="00DC3D32"/>
    <w:rsid w:val="00DF1DC4"/>
    <w:rsid w:val="00DF3E3B"/>
    <w:rsid w:val="00E2337F"/>
    <w:rsid w:val="00E3262E"/>
    <w:rsid w:val="00E40470"/>
    <w:rsid w:val="00E455C4"/>
    <w:rsid w:val="00E70503"/>
    <w:rsid w:val="00E751C4"/>
    <w:rsid w:val="00E77295"/>
    <w:rsid w:val="00EC7FEA"/>
    <w:rsid w:val="00EE69F2"/>
    <w:rsid w:val="00F02C70"/>
    <w:rsid w:val="00F04E2B"/>
    <w:rsid w:val="00F0729D"/>
    <w:rsid w:val="00F11A15"/>
    <w:rsid w:val="00F30A72"/>
    <w:rsid w:val="00F419C5"/>
    <w:rsid w:val="00F70032"/>
    <w:rsid w:val="00F70EE6"/>
    <w:rsid w:val="00F97D14"/>
    <w:rsid w:val="00FB99D8"/>
    <w:rsid w:val="00FC7B73"/>
    <w:rsid w:val="00FF2E25"/>
    <w:rsid w:val="011F351E"/>
    <w:rsid w:val="012719CB"/>
    <w:rsid w:val="01A6DBD4"/>
    <w:rsid w:val="020748DA"/>
    <w:rsid w:val="022C817C"/>
    <w:rsid w:val="02419FE2"/>
    <w:rsid w:val="026FC7A5"/>
    <w:rsid w:val="02FB63DB"/>
    <w:rsid w:val="031B3E6F"/>
    <w:rsid w:val="03612168"/>
    <w:rsid w:val="0487ED1A"/>
    <w:rsid w:val="04D787ED"/>
    <w:rsid w:val="0563D74A"/>
    <w:rsid w:val="056F3075"/>
    <w:rsid w:val="0606D698"/>
    <w:rsid w:val="0724D3B4"/>
    <w:rsid w:val="073B1848"/>
    <w:rsid w:val="087BF4E7"/>
    <w:rsid w:val="091B439E"/>
    <w:rsid w:val="09E1B9BF"/>
    <w:rsid w:val="0A36A770"/>
    <w:rsid w:val="0A603170"/>
    <w:rsid w:val="0A6E9D61"/>
    <w:rsid w:val="0A7127E8"/>
    <w:rsid w:val="0ACB24B6"/>
    <w:rsid w:val="0BDED887"/>
    <w:rsid w:val="0C2068CD"/>
    <w:rsid w:val="0D319830"/>
    <w:rsid w:val="0D524215"/>
    <w:rsid w:val="0E91B956"/>
    <w:rsid w:val="0EBADA42"/>
    <w:rsid w:val="0ECE294A"/>
    <w:rsid w:val="0F00FC5C"/>
    <w:rsid w:val="0F68A68D"/>
    <w:rsid w:val="111AAD44"/>
    <w:rsid w:val="1121B4FC"/>
    <w:rsid w:val="11706394"/>
    <w:rsid w:val="132FE94F"/>
    <w:rsid w:val="14308E42"/>
    <w:rsid w:val="14E77BA2"/>
    <w:rsid w:val="1544B32A"/>
    <w:rsid w:val="155BD11F"/>
    <w:rsid w:val="1683D0D2"/>
    <w:rsid w:val="16A012FE"/>
    <w:rsid w:val="16D1FB69"/>
    <w:rsid w:val="16EC1A71"/>
    <w:rsid w:val="174A5A9E"/>
    <w:rsid w:val="17729B56"/>
    <w:rsid w:val="18444AFE"/>
    <w:rsid w:val="185FA5AB"/>
    <w:rsid w:val="1925B357"/>
    <w:rsid w:val="1AEE44CC"/>
    <w:rsid w:val="1B601C19"/>
    <w:rsid w:val="1BBF34BF"/>
    <w:rsid w:val="1BCAA24F"/>
    <w:rsid w:val="1C05B4F0"/>
    <w:rsid w:val="1D997E57"/>
    <w:rsid w:val="1D9B6F21"/>
    <w:rsid w:val="1E0011AC"/>
    <w:rsid w:val="1E1DCB93"/>
    <w:rsid w:val="1F4B1F55"/>
    <w:rsid w:val="1FE0F69D"/>
    <w:rsid w:val="2056A4A8"/>
    <w:rsid w:val="220DE9DB"/>
    <w:rsid w:val="24CEF644"/>
    <w:rsid w:val="269B56E7"/>
    <w:rsid w:val="27405B87"/>
    <w:rsid w:val="27A07CB2"/>
    <w:rsid w:val="2825D775"/>
    <w:rsid w:val="292AA1CB"/>
    <w:rsid w:val="292DF1DB"/>
    <w:rsid w:val="29804487"/>
    <w:rsid w:val="2A06C319"/>
    <w:rsid w:val="2A6BBF2F"/>
    <w:rsid w:val="2AA462E9"/>
    <w:rsid w:val="2B0C7008"/>
    <w:rsid w:val="2B209C32"/>
    <w:rsid w:val="2B2AA5B2"/>
    <w:rsid w:val="2CBBF94A"/>
    <w:rsid w:val="2CC60E3B"/>
    <w:rsid w:val="2DC31DDF"/>
    <w:rsid w:val="303D1100"/>
    <w:rsid w:val="309F950E"/>
    <w:rsid w:val="32AC36D4"/>
    <w:rsid w:val="333BAD4D"/>
    <w:rsid w:val="34C5DDC6"/>
    <w:rsid w:val="353397D3"/>
    <w:rsid w:val="36BB65F1"/>
    <w:rsid w:val="36FAD27F"/>
    <w:rsid w:val="3737FC67"/>
    <w:rsid w:val="37722D79"/>
    <w:rsid w:val="37BC0823"/>
    <w:rsid w:val="391AEDD0"/>
    <w:rsid w:val="39917B2F"/>
    <w:rsid w:val="39B706FD"/>
    <w:rsid w:val="3A8B7F96"/>
    <w:rsid w:val="3A8F4C60"/>
    <w:rsid w:val="3AA524E0"/>
    <w:rsid w:val="3B67BF5C"/>
    <w:rsid w:val="3D2DC783"/>
    <w:rsid w:val="3D9BE275"/>
    <w:rsid w:val="3E451B07"/>
    <w:rsid w:val="40B8874C"/>
    <w:rsid w:val="4112C9FA"/>
    <w:rsid w:val="41930EBC"/>
    <w:rsid w:val="425875A1"/>
    <w:rsid w:val="428D13F2"/>
    <w:rsid w:val="42AFAD1E"/>
    <w:rsid w:val="42E24DB2"/>
    <w:rsid w:val="4313A785"/>
    <w:rsid w:val="44B07838"/>
    <w:rsid w:val="44B12B35"/>
    <w:rsid w:val="44E4725C"/>
    <w:rsid w:val="458EF744"/>
    <w:rsid w:val="45D52F31"/>
    <w:rsid w:val="45DEB12F"/>
    <w:rsid w:val="463CDE1F"/>
    <w:rsid w:val="46BEB042"/>
    <w:rsid w:val="49ECEE7B"/>
    <w:rsid w:val="4A11002D"/>
    <w:rsid w:val="4A7C0C52"/>
    <w:rsid w:val="4A8FD5FA"/>
    <w:rsid w:val="4B3DBD39"/>
    <w:rsid w:val="4B3E8240"/>
    <w:rsid w:val="4CA7499F"/>
    <w:rsid w:val="4D33EA40"/>
    <w:rsid w:val="4DFCC55B"/>
    <w:rsid w:val="4E78E90D"/>
    <w:rsid w:val="4EC0750D"/>
    <w:rsid w:val="4EE260C2"/>
    <w:rsid w:val="4F0BF519"/>
    <w:rsid w:val="4F116266"/>
    <w:rsid w:val="4F3E7D1D"/>
    <w:rsid w:val="4FD22ECB"/>
    <w:rsid w:val="517F0A99"/>
    <w:rsid w:val="51B3C231"/>
    <w:rsid w:val="523E7859"/>
    <w:rsid w:val="52B60430"/>
    <w:rsid w:val="530C1490"/>
    <w:rsid w:val="5489A441"/>
    <w:rsid w:val="54D15EF5"/>
    <w:rsid w:val="551F6A47"/>
    <w:rsid w:val="56DF5763"/>
    <w:rsid w:val="5789ABAD"/>
    <w:rsid w:val="5857ECBE"/>
    <w:rsid w:val="5897522A"/>
    <w:rsid w:val="593FB4E0"/>
    <w:rsid w:val="594532A7"/>
    <w:rsid w:val="5AD0B558"/>
    <w:rsid w:val="5AD9251C"/>
    <w:rsid w:val="5B339867"/>
    <w:rsid w:val="5B64505C"/>
    <w:rsid w:val="5BF5B0B5"/>
    <w:rsid w:val="5CEFED2F"/>
    <w:rsid w:val="5D53EAD4"/>
    <w:rsid w:val="5DDCEC27"/>
    <w:rsid w:val="5E724764"/>
    <w:rsid w:val="5F9ECD3A"/>
    <w:rsid w:val="61583014"/>
    <w:rsid w:val="61D6FAD9"/>
    <w:rsid w:val="6246C8DF"/>
    <w:rsid w:val="628CFEAB"/>
    <w:rsid w:val="62BA7ECF"/>
    <w:rsid w:val="637D6BF0"/>
    <w:rsid w:val="63E7CCC5"/>
    <w:rsid w:val="643C8A77"/>
    <w:rsid w:val="647791CE"/>
    <w:rsid w:val="64B83AC2"/>
    <w:rsid w:val="68E75D6D"/>
    <w:rsid w:val="69AF7313"/>
    <w:rsid w:val="6A67D605"/>
    <w:rsid w:val="6A844505"/>
    <w:rsid w:val="6B0F8E5D"/>
    <w:rsid w:val="6C9440DC"/>
    <w:rsid w:val="6CC50D24"/>
    <w:rsid w:val="6D25A295"/>
    <w:rsid w:val="6D4DACF0"/>
    <w:rsid w:val="6F359780"/>
    <w:rsid w:val="6F6EB47A"/>
    <w:rsid w:val="6F9BE0D3"/>
    <w:rsid w:val="6FC8EC11"/>
    <w:rsid w:val="6FCCCBB0"/>
    <w:rsid w:val="7034A03E"/>
    <w:rsid w:val="7089FAE6"/>
    <w:rsid w:val="708F11F2"/>
    <w:rsid w:val="712A3609"/>
    <w:rsid w:val="71DF4C03"/>
    <w:rsid w:val="724B8621"/>
    <w:rsid w:val="7372BC12"/>
    <w:rsid w:val="74C41445"/>
    <w:rsid w:val="74E04EC9"/>
    <w:rsid w:val="74F161F5"/>
    <w:rsid w:val="75B111A8"/>
    <w:rsid w:val="775BC137"/>
    <w:rsid w:val="77DDFCF5"/>
    <w:rsid w:val="7914AB45"/>
    <w:rsid w:val="795F5A10"/>
    <w:rsid w:val="79FBE459"/>
    <w:rsid w:val="7A050C5A"/>
    <w:rsid w:val="7A158385"/>
    <w:rsid w:val="7A2E77F9"/>
    <w:rsid w:val="7AEE3FF6"/>
    <w:rsid w:val="7BD82E00"/>
    <w:rsid w:val="7C3363FF"/>
    <w:rsid w:val="7D03BC75"/>
    <w:rsid w:val="7D18B52B"/>
    <w:rsid w:val="7EA566B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6C8CC"/>
  <w15:chartTrackingRefBased/>
  <w15:docId w15:val="{38948716-D5D3-488C-9ED4-C5787E25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2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32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32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32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32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32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2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2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2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2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32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32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32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32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32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2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2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2C6"/>
    <w:rPr>
      <w:rFonts w:eastAsiaTheme="majorEastAsia" w:cstheme="majorBidi"/>
      <w:color w:val="272727" w:themeColor="text1" w:themeTint="D8"/>
    </w:rPr>
  </w:style>
  <w:style w:type="paragraph" w:styleId="Title">
    <w:name w:val="Title"/>
    <w:basedOn w:val="Normal"/>
    <w:next w:val="Normal"/>
    <w:link w:val="TitleChar"/>
    <w:uiPriority w:val="10"/>
    <w:qFormat/>
    <w:rsid w:val="005D3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2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2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2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2C6"/>
    <w:pPr>
      <w:spacing w:before="160"/>
      <w:jc w:val="center"/>
    </w:pPr>
    <w:rPr>
      <w:i/>
      <w:iCs/>
      <w:color w:val="404040" w:themeColor="text1" w:themeTint="BF"/>
    </w:rPr>
  </w:style>
  <w:style w:type="character" w:customStyle="1" w:styleId="QuoteChar">
    <w:name w:val="Quote Char"/>
    <w:basedOn w:val="DefaultParagraphFont"/>
    <w:link w:val="Quote"/>
    <w:uiPriority w:val="29"/>
    <w:rsid w:val="005D32C6"/>
    <w:rPr>
      <w:i/>
      <w:iCs/>
      <w:color w:val="404040" w:themeColor="text1" w:themeTint="BF"/>
    </w:rPr>
  </w:style>
  <w:style w:type="paragraph" w:styleId="ListParagraph">
    <w:name w:val="List Paragraph"/>
    <w:basedOn w:val="Normal"/>
    <w:uiPriority w:val="34"/>
    <w:qFormat/>
    <w:rsid w:val="005D32C6"/>
    <w:pPr>
      <w:ind w:left="720"/>
      <w:contextualSpacing/>
    </w:pPr>
  </w:style>
  <w:style w:type="character" w:styleId="IntenseEmphasis">
    <w:name w:val="Intense Emphasis"/>
    <w:basedOn w:val="DefaultParagraphFont"/>
    <w:uiPriority w:val="21"/>
    <w:qFormat/>
    <w:rsid w:val="005D32C6"/>
    <w:rPr>
      <w:i/>
      <w:iCs/>
      <w:color w:val="2F5496" w:themeColor="accent1" w:themeShade="BF"/>
    </w:rPr>
  </w:style>
  <w:style w:type="paragraph" w:styleId="IntenseQuote">
    <w:name w:val="Intense Quote"/>
    <w:basedOn w:val="Normal"/>
    <w:next w:val="Normal"/>
    <w:link w:val="IntenseQuoteChar"/>
    <w:uiPriority w:val="30"/>
    <w:qFormat/>
    <w:rsid w:val="005D32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32C6"/>
    <w:rPr>
      <w:i/>
      <w:iCs/>
      <w:color w:val="2F5496" w:themeColor="accent1" w:themeShade="BF"/>
    </w:rPr>
  </w:style>
  <w:style w:type="character" w:styleId="IntenseReference">
    <w:name w:val="Intense Reference"/>
    <w:basedOn w:val="DefaultParagraphFont"/>
    <w:uiPriority w:val="32"/>
    <w:qFormat/>
    <w:rsid w:val="005D32C6"/>
    <w:rPr>
      <w:b/>
      <w:bCs/>
      <w:smallCaps/>
      <w:color w:val="2F5496" w:themeColor="accent1" w:themeShade="BF"/>
      <w:spacing w:val="5"/>
    </w:rPr>
  </w:style>
  <w:style w:type="table" w:styleId="TableGrid">
    <w:name w:val="Table Grid"/>
    <w:basedOn w:val="TableNormal"/>
    <w:uiPriority w:val="39"/>
    <w:rsid w:val="00526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228355">
      <w:bodyDiv w:val="1"/>
      <w:marLeft w:val="0"/>
      <w:marRight w:val="0"/>
      <w:marTop w:val="0"/>
      <w:marBottom w:val="0"/>
      <w:divBdr>
        <w:top w:val="none" w:sz="0" w:space="0" w:color="auto"/>
        <w:left w:val="none" w:sz="0" w:space="0" w:color="auto"/>
        <w:bottom w:val="none" w:sz="0" w:space="0" w:color="auto"/>
        <w:right w:val="none" w:sz="0" w:space="0" w:color="auto"/>
      </w:divBdr>
    </w:div>
    <w:div w:id="261108233">
      <w:bodyDiv w:val="1"/>
      <w:marLeft w:val="0"/>
      <w:marRight w:val="0"/>
      <w:marTop w:val="0"/>
      <w:marBottom w:val="0"/>
      <w:divBdr>
        <w:top w:val="none" w:sz="0" w:space="0" w:color="auto"/>
        <w:left w:val="none" w:sz="0" w:space="0" w:color="auto"/>
        <w:bottom w:val="none" w:sz="0" w:space="0" w:color="auto"/>
        <w:right w:val="none" w:sz="0" w:space="0" w:color="auto"/>
      </w:divBdr>
    </w:div>
    <w:div w:id="305667014">
      <w:bodyDiv w:val="1"/>
      <w:marLeft w:val="0"/>
      <w:marRight w:val="0"/>
      <w:marTop w:val="0"/>
      <w:marBottom w:val="0"/>
      <w:divBdr>
        <w:top w:val="none" w:sz="0" w:space="0" w:color="auto"/>
        <w:left w:val="none" w:sz="0" w:space="0" w:color="auto"/>
        <w:bottom w:val="none" w:sz="0" w:space="0" w:color="auto"/>
        <w:right w:val="none" w:sz="0" w:space="0" w:color="auto"/>
      </w:divBdr>
    </w:div>
    <w:div w:id="349530423">
      <w:bodyDiv w:val="1"/>
      <w:marLeft w:val="0"/>
      <w:marRight w:val="0"/>
      <w:marTop w:val="0"/>
      <w:marBottom w:val="0"/>
      <w:divBdr>
        <w:top w:val="none" w:sz="0" w:space="0" w:color="auto"/>
        <w:left w:val="none" w:sz="0" w:space="0" w:color="auto"/>
        <w:bottom w:val="none" w:sz="0" w:space="0" w:color="auto"/>
        <w:right w:val="none" w:sz="0" w:space="0" w:color="auto"/>
      </w:divBdr>
      <w:divsChild>
        <w:div w:id="13390495">
          <w:marLeft w:val="0"/>
          <w:marRight w:val="0"/>
          <w:marTop w:val="0"/>
          <w:marBottom w:val="0"/>
          <w:divBdr>
            <w:top w:val="none" w:sz="0" w:space="0" w:color="auto"/>
            <w:left w:val="none" w:sz="0" w:space="0" w:color="auto"/>
            <w:bottom w:val="none" w:sz="0" w:space="0" w:color="auto"/>
            <w:right w:val="none" w:sz="0" w:space="0" w:color="auto"/>
          </w:divBdr>
        </w:div>
        <w:div w:id="150602644">
          <w:marLeft w:val="0"/>
          <w:marRight w:val="0"/>
          <w:marTop w:val="0"/>
          <w:marBottom w:val="0"/>
          <w:divBdr>
            <w:top w:val="none" w:sz="0" w:space="0" w:color="auto"/>
            <w:left w:val="none" w:sz="0" w:space="0" w:color="auto"/>
            <w:bottom w:val="none" w:sz="0" w:space="0" w:color="auto"/>
            <w:right w:val="none" w:sz="0" w:space="0" w:color="auto"/>
          </w:divBdr>
        </w:div>
        <w:div w:id="421489268">
          <w:marLeft w:val="0"/>
          <w:marRight w:val="0"/>
          <w:marTop w:val="0"/>
          <w:marBottom w:val="0"/>
          <w:divBdr>
            <w:top w:val="none" w:sz="0" w:space="0" w:color="auto"/>
            <w:left w:val="none" w:sz="0" w:space="0" w:color="auto"/>
            <w:bottom w:val="none" w:sz="0" w:space="0" w:color="auto"/>
            <w:right w:val="none" w:sz="0" w:space="0" w:color="auto"/>
          </w:divBdr>
        </w:div>
        <w:div w:id="887450824">
          <w:marLeft w:val="0"/>
          <w:marRight w:val="0"/>
          <w:marTop w:val="0"/>
          <w:marBottom w:val="0"/>
          <w:divBdr>
            <w:top w:val="none" w:sz="0" w:space="0" w:color="auto"/>
            <w:left w:val="none" w:sz="0" w:space="0" w:color="auto"/>
            <w:bottom w:val="none" w:sz="0" w:space="0" w:color="auto"/>
            <w:right w:val="none" w:sz="0" w:space="0" w:color="auto"/>
          </w:divBdr>
        </w:div>
        <w:div w:id="1205218131">
          <w:marLeft w:val="0"/>
          <w:marRight w:val="0"/>
          <w:marTop w:val="0"/>
          <w:marBottom w:val="0"/>
          <w:divBdr>
            <w:top w:val="none" w:sz="0" w:space="0" w:color="auto"/>
            <w:left w:val="none" w:sz="0" w:space="0" w:color="auto"/>
            <w:bottom w:val="none" w:sz="0" w:space="0" w:color="auto"/>
            <w:right w:val="none" w:sz="0" w:space="0" w:color="auto"/>
          </w:divBdr>
        </w:div>
        <w:div w:id="1237400573">
          <w:marLeft w:val="0"/>
          <w:marRight w:val="0"/>
          <w:marTop w:val="0"/>
          <w:marBottom w:val="0"/>
          <w:divBdr>
            <w:top w:val="none" w:sz="0" w:space="0" w:color="auto"/>
            <w:left w:val="none" w:sz="0" w:space="0" w:color="auto"/>
            <w:bottom w:val="none" w:sz="0" w:space="0" w:color="auto"/>
            <w:right w:val="none" w:sz="0" w:space="0" w:color="auto"/>
          </w:divBdr>
        </w:div>
        <w:div w:id="1512136110">
          <w:marLeft w:val="0"/>
          <w:marRight w:val="0"/>
          <w:marTop w:val="0"/>
          <w:marBottom w:val="0"/>
          <w:divBdr>
            <w:top w:val="none" w:sz="0" w:space="0" w:color="auto"/>
            <w:left w:val="none" w:sz="0" w:space="0" w:color="auto"/>
            <w:bottom w:val="none" w:sz="0" w:space="0" w:color="auto"/>
            <w:right w:val="none" w:sz="0" w:space="0" w:color="auto"/>
          </w:divBdr>
        </w:div>
        <w:div w:id="1608737113">
          <w:marLeft w:val="0"/>
          <w:marRight w:val="0"/>
          <w:marTop w:val="0"/>
          <w:marBottom w:val="0"/>
          <w:divBdr>
            <w:top w:val="none" w:sz="0" w:space="0" w:color="auto"/>
            <w:left w:val="none" w:sz="0" w:space="0" w:color="auto"/>
            <w:bottom w:val="none" w:sz="0" w:space="0" w:color="auto"/>
            <w:right w:val="none" w:sz="0" w:space="0" w:color="auto"/>
          </w:divBdr>
        </w:div>
        <w:div w:id="1647512447">
          <w:marLeft w:val="0"/>
          <w:marRight w:val="0"/>
          <w:marTop w:val="0"/>
          <w:marBottom w:val="0"/>
          <w:divBdr>
            <w:top w:val="none" w:sz="0" w:space="0" w:color="auto"/>
            <w:left w:val="none" w:sz="0" w:space="0" w:color="auto"/>
            <w:bottom w:val="none" w:sz="0" w:space="0" w:color="auto"/>
            <w:right w:val="none" w:sz="0" w:space="0" w:color="auto"/>
          </w:divBdr>
        </w:div>
      </w:divsChild>
    </w:div>
    <w:div w:id="389890403">
      <w:bodyDiv w:val="1"/>
      <w:marLeft w:val="0"/>
      <w:marRight w:val="0"/>
      <w:marTop w:val="0"/>
      <w:marBottom w:val="0"/>
      <w:divBdr>
        <w:top w:val="none" w:sz="0" w:space="0" w:color="auto"/>
        <w:left w:val="none" w:sz="0" w:space="0" w:color="auto"/>
        <w:bottom w:val="none" w:sz="0" w:space="0" w:color="auto"/>
        <w:right w:val="none" w:sz="0" w:space="0" w:color="auto"/>
      </w:divBdr>
    </w:div>
    <w:div w:id="396368144">
      <w:bodyDiv w:val="1"/>
      <w:marLeft w:val="0"/>
      <w:marRight w:val="0"/>
      <w:marTop w:val="0"/>
      <w:marBottom w:val="0"/>
      <w:divBdr>
        <w:top w:val="none" w:sz="0" w:space="0" w:color="auto"/>
        <w:left w:val="none" w:sz="0" w:space="0" w:color="auto"/>
        <w:bottom w:val="none" w:sz="0" w:space="0" w:color="auto"/>
        <w:right w:val="none" w:sz="0" w:space="0" w:color="auto"/>
      </w:divBdr>
    </w:div>
    <w:div w:id="570045314">
      <w:bodyDiv w:val="1"/>
      <w:marLeft w:val="0"/>
      <w:marRight w:val="0"/>
      <w:marTop w:val="0"/>
      <w:marBottom w:val="0"/>
      <w:divBdr>
        <w:top w:val="none" w:sz="0" w:space="0" w:color="auto"/>
        <w:left w:val="none" w:sz="0" w:space="0" w:color="auto"/>
        <w:bottom w:val="none" w:sz="0" w:space="0" w:color="auto"/>
        <w:right w:val="none" w:sz="0" w:space="0" w:color="auto"/>
      </w:divBdr>
    </w:div>
    <w:div w:id="911543496">
      <w:bodyDiv w:val="1"/>
      <w:marLeft w:val="0"/>
      <w:marRight w:val="0"/>
      <w:marTop w:val="0"/>
      <w:marBottom w:val="0"/>
      <w:divBdr>
        <w:top w:val="none" w:sz="0" w:space="0" w:color="auto"/>
        <w:left w:val="none" w:sz="0" w:space="0" w:color="auto"/>
        <w:bottom w:val="none" w:sz="0" w:space="0" w:color="auto"/>
        <w:right w:val="none" w:sz="0" w:space="0" w:color="auto"/>
      </w:divBdr>
    </w:div>
    <w:div w:id="974290673">
      <w:bodyDiv w:val="1"/>
      <w:marLeft w:val="0"/>
      <w:marRight w:val="0"/>
      <w:marTop w:val="0"/>
      <w:marBottom w:val="0"/>
      <w:divBdr>
        <w:top w:val="none" w:sz="0" w:space="0" w:color="auto"/>
        <w:left w:val="none" w:sz="0" w:space="0" w:color="auto"/>
        <w:bottom w:val="none" w:sz="0" w:space="0" w:color="auto"/>
        <w:right w:val="none" w:sz="0" w:space="0" w:color="auto"/>
      </w:divBdr>
    </w:div>
    <w:div w:id="1037774546">
      <w:bodyDiv w:val="1"/>
      <w:marLeft w:val="0"/>
      <w:marRight w:val="0"/>
      <w:marTop w:val="0"/>
      <w:marBottom w:val="0"/>
      <w:divBdr>
        <w:top w:val="none" w:sz="0" w:space="0" w:color="auto"/>
        <w:left w:val="none" w:sz="0" w:space="0" w:color="auto"/>
        <w:bottom w:val="none" w:sz="0" w:space="0" w:color="auto"/>
        <w:right w:val="none" w:sz="0" w:space="0" w:color="auto"/>
      </w:divBdr>
      <w:divsChild>
        <w:div w:id="533422108">
          <w:marLeft w:val="0"/>
          <w:marRight w:val="0"/>
          <w:marTop w:val="0"/>
          <w:marBottom w:val="0"/>
          <w:divBdr>
            <w:top w:val="none" w:sz="0" w:space="0" w:color="auto"/>
            <w:left w:val="none" w:sz="0" w:space="0" w:color="auto"/>
            <w:bottom w:val="none" w:sz="0" w:space="0" w:color="auto"/>
            <w:right w:val="none" w:sz="0" w:space="0" w:color="auto"/>
          </w:divBdr>
        </w:div>
        <w:div w:id="591166891">
          <w:marLeft w:val="0"/>
          <w:marRight w:val="0"/>
          <w:marTop w:val="0"/>
          <w:marBottom w:val="0"/>
          <w:divBdr>
            <w:top w:val="none" w:sz="0" w:space="0" w:color="auto"/>
            <w:left w:val="none" w:sz="0" w:space="0" w:color="auto"/>
            <w:bottom w:val="none" w:sz="0" w:space="0" w:color="auto"/>
            <w:right w:val="none" w:sz="0" w:space="0" w:color="auto"/>
          </w:divBdr>
        </w:div>
        <w:div w:id="856190506">
          <w:marLeft w:val="0"/>
          <w:marRight w:val="0"/>
          <w:marTop w:val="0"/>
          <w:marBottom w:val="0"/>
          <w:divBdr>
            <w:top w:val="none" w:sz="0" w:space="0" w:color="auto"/>
            <w:left w:val="none" w:sz="0" w:space="0" w:color="auto"/>
            <w:bottom w:val="none" w:sz="0" w:space="0" w:color="auto"/>
            <w:right w:val="none" w:sz="0" w:space="0" w:color="auto"/>
          </w:divBdr>
        </w:div>
        <w:div w:id="1182207222">
          <w:marLeft w:val="0"/>
          <w:marRight w:val="0"/>
          <w:marTop w:val="0"/>
          <w:marBottom w:val="0"/>
          <w:divBdr>
            <w:top w:val="none" w:sz="0" w:space="0" w:color="auto"/>
            <w:left w:val="none" w:sz="0" w:space="0" w:color="auto"/>
            <w:bottom w:val="none" w:sz="0" w:space="0" w:color="auto"/>
            <w:right w:val="none" w:sz="0" w:space="0" w:color="auto"/>
          </w:divBdr>
        </w:div>
        <w:div w:id="1322926474">
          <w:marLeft w:val="0"/>
          <w:marRight w:val="0"/>
          <w:marTop w:val="0"/>
          <w:marBottom w:val="0"/>
          <w:divBdr>
            <w:top w:val="none" w:sz="0" w:space="0" w:color="auto"/>
            <w:left w:val="none" w:sz="0" w:space="0" w:color="auto"/>
            <w:bottom w:val="none" w:sz="0" w:space="0" w:color="auto"/>
            <w:right w:val="none" w:sz="0" w:space="0" w:color="auto"/>
          </w:divBdr>
        </w:div>
        <w:div w:id="1339625041">
          <w:marLeft w:val="0"/>
          <w:marRight w:val="0"/>
          <w:marTop w:val="0"/>
          <w:marBottom w:val="0"/>
          <w:divBdr>
            <w:top w:val="none" w:sz="0" w:space="0" w:color="auto"/>
            <w:left w:val="none" w:sz="0" w:space="0" w:color="auto"/>
            <w:bottom w:val="none" w:sz="0" w:space="0" w:color="auto"/>
            <w:right w:val="none" w:sz="0" w:space="0" w:color="auto"/>
          </w:divBdr>
        </w:div>
        <w:div w:id="1468665141">
          <w:marLeft w:val="0"/>
          <w:marRight w:val="0"/>
          <w:marTop w:val="0"/>
          <w:marBottom w:val="0"/>
          <w:divBdr>
            <w:top w:val="none" w:sz="0" w:space="0" w:color="auto"/>
            <w:left w:val="none" w:sz="0" w:space="0" w:color="auto"/>
            <w:bottom w:val="none" w:sz="0" w:space="0" w:color="auto"/>
            <w:right w:val="none" w:sz="0" w:space="0" w:color="auto"/>
          </w:divBdr>
        </w:div>
        <w:div w:id="1828474856">
          <w:marLeft w:val="0"/>
          <w:marRight w:val="0"/>
          <w:marTop w:val="0"/>
          <w:marBottom w:val="0"/>
          <w:divBdr>
            <w:top w:val="none" w:sz="0" w:space="0" w:color="auto"/>
            <w:left w:val="none" w:sz="0" w:space="0" w:color="auto"/>
            <w:bottom w:val="none" w:sz="0" w:space="0" w:color="auto"/>
            <w:right w:val="none" w:sz="0" w:space="0" w:color="auto"/>
          </w:divBdr>
        </w:div>
        <w:div w:id="1936134826">
          <w:marLeft w:val="0"/>
          <w:marRight w:val="0"/>
          <w:marTop w:val="0"/>
          <w:marBottom w:val="0"/>
          <w:divBdr>
            <w:top w:val="none" w:sz="0" w:space="0" w:color="auto"/>
            <w:left w:val="none" w:sz="0" w:space="0" w:color="auto"/>
            <w:bottom w:val="none" w:sz="0" w:space="0" w:color="auto"/>
            <w:right w:val="none" w:sz="0" w:space="0" w:color="auto"/>
          </w:divBdr>
        </w:div>
      </w:divsChild>
    </w:div>
    <w:div w:id="1064913278">
      <w:bodyDiv w:val="1"/>
      <w:marLeft w:val="0"/>
      <w:marRight w:val="0"/>
      <w:marTop w:val="0"/>
      <w:marBottom w:val="0"/>
      <w:divBdr>
        <w:top w:val="none" w:sz="0" w:space="0" w:color="auto"/>
        <w:left w:val="none" w:sz="0" w:space="0" w:color="auto"/>
        <w:bottom w:val="none" w:sz="0" w:space="0" w:color="auto"/>
        <w:right w:val="none" w:sz="0" w:space="0" w:color="auto"/>
      </w:divBdr>
    </w:div>
    <w:div w:id="1402364229">
      <w:bodyDiv w:val="1"/>
      <w:marLeft w:val="0"/>
      <w:marRight w:val="0"/>
      <w:marTop w:val="0"/>
      <w:marBottom w:val="0"/>
      <w:divBdr>
        <w:top w:val="none" w:sz="0" w:space="0" w:color="auto"/>
        <w:left w:val="none" w:sz="0" w:space="0" w:color="auto"/>
        <w:bottom w:val="none" w:sz="0" w:space="0" w:color="auto"/>
        <w:right w:val="none" w:sz="0" w:space="0" w:color="auto"/>
      </w:divBdr>
    </w:div>
    <w:div w:id="1785685207">
      <w:bodyDiv w:val="1"/>
      <w:marLeft w:val="0"/>
      <w:marRight w:val="0"/>
      <w:marTop w:val="0"/>
      <w:marBottom w:val="0"/>
      <w:divBdr>
        <w:top w:val="none" w:sz="0" w:space="0" w:color="auto"/>
        <w:left w:val="none" w:sz="0" w:space="0" w:color="auto"/>
        <w:bottom w:val="none" w:sz="0" w:space="0" w:color="auto"/>
        <w:right w:val="none" w:sz="0" w:space="0" w:color="auto"/>
      </w:divBdr>
      <w:divsChild>
        <w:div w:id="22899273">
          <w:marLeft w:val="0"/>
          <w:marRight w:val="0"/>
          <w:marTop w:val="0"/>
          <w:marBottom w:val="0"/>
          <w:divBdr>
            <w:top w:val="none" w:sz="0" w:space="0" w:color="auto"/>
            <w:left w:val="none" w:sz="0" w:space="0" w:color="auto"/>
            <w:bottom w:val="none" w:sz="0" w:space="0" w:color="auto"/>
            <w:right w:val="none" w:sz="0" w:space="0" w:color="auto"/>
          </w:divBdr>
        </w:div>
        <w:div w:id="913003364">
          <w:marLeft w:val="0"/>
          <w:marRight w:val="0"/>
          <w:marTop w:val="0"/>
          <w:marBottom w:val="0"/>
          <w:divBdr>
            <w:top w:val="none" w:sz="0" w:space="0" w:color="auto"/>
            <w:left w:val="none" w:sz="0" w:space="0" w:color="auto"/>
            <w:bottom w:val="none" w:sz="0" w:space="0" w:color="auto"/>
            <w:right w:val="none" w:sz="0" w:space="0" w:color="auto"/>
          </w:divBdr>
          <w:divsChild>
            <w:div w:id="1830055698">
              <w:marLeft w:val="-75"/>
              <w:marRight w:val="0"/>
              <w:marTop w:val="30"/>
              <w:marBottom w:val="30"/>
              <w:divBdr>
                <w:top w:val="none" w:sz="0" w:space="0" w:color="auto"/>
                <w:left w:val="none" w:sz="0" w:space="0" w:color="auto"/>
                <w:bottom w:val="none" w:sz="0" w:space="0" w:color="auto"/>
                <w:right w:val="none" w:sz="0" w:space="0" w:color="auto"/>
              </w:divBdr>
              <w:divsChild>
                <w:div w:id="29501572">
                  <w:marLeft w:val="0"/>
                  <w:marRight w:val="0"/>
                  <w:marTop w:val="0"/>
                  <w:marBottom w:val="0"/>
                  <w:divBdr>
                    <w:top w:val="none" w:sz="0" w:space="0" w:color="auto"/>
                    <w:left w:val="none" w:sz="0" w:space="0" w:color="auto"/>
                    <w:bottom w:val="none" w:sz="0" w:space="0" w:color="auto"/>
                    <w:right w:val="none" w:sz="0" w:space="0" w:color="auto"/>
                  </w:divBdr>
                  <w:divsChild>
                    <w:div w:id="1511337020">
                      <w:marLeft w:val="0"/>
                      <w:marRight w:val="0"/>
                      <w:marTop w:val="0"/>
                      <w:marBottom w:val="0"/>
                      <w:divBdr>
                        <w:top w:val="none" w:sz="0" w:space="0" w:color="auto"/>
                        <w:left w:val="none" w:sz="0" w:space="0" w:color="auto"/>
                        <w:bottom w:val="none" w:sz="0" w:space="0" w:color="auto"/>
                        <w:right w:val="none" w:sz="0" w:space="0" w:color="auto"/>
                      </w:divBdr>
                    </w:div>
                  </w:divsChild>
                </w:div>
                <w:div w:id="227301934">
                  <w:marLeft w:val="0"/>
                  <w:marRight w:val="0"/>
                  <w:marTop w:val="0"/>
                  <w:marBottom w:val="0"/>
                  <w:divBdr>
                    <w:top w:val="none" w:sz="0" w:space="0" w:color="auto"/>
                    <w:left w:val="none" w:sz="0" w:space="0" w:color="auto"/>
                    <w:bottom w:val="none" w:sz="0" w:space="0" w:color="auto"/>
                    <w:right w:val="none" w:sz="0" w:space="0" w:color="auto"/>
                  </w:divBdr>
                  <w:divsChild>
                    <w:div w:id="1853957680">
                      <w:marLeft w:val="0"/>
                      <w:marRight w:val="0"/>
                      <w:marTop w:val="0"/>
                      <w:marBottom w:val="0"/>
                      <w:divBdr>
                        <w:top w:val="none" w:sz="0" w:space="0" w:color="auto"/>
                        <w:left w:val="none" w:sz="0" w:space="0" w:color="auto"/>
                        <w:bottom w:val="none" w:sz="0" w:space="0" w:color="auto"/>
                        <w:right w:val="none" w:sz="0" w:space="0" w:color="auto"/>
                      </w:divBdr>
                    </w:div>
                  </w:divsChild>
                </w:div>
                <w:div w:id="339938943">
                  <w:marLeft w:val="0"/>
                  <w:marRight w:val="0"/>
                  <w:marTop w:val="0"/>
                  <w:marBottom w:val="0"/>
                  <w:divBdr>
                    <w:top w:val="none" w:sz="0" w:space="0" w:color="auto"/>
                    <w:left w:val="none" w:sz="0" w:space="0" w:color="auto"/>
                    <w:bottom w:val="none" w:sz="0" w:space="0" w:color="auto"/>
                    <w:right w:val="none" w:sz="0" w:space="0" w:color="auto"/>
                  </w:divBdr>
                  <w:divsChild>
                    <w:div w:id="1493913289">
                      <w:marLeft w:val="0"/>
                      <w:marRight w:val="0"/>
                      <w:marTop w:val="0"/>
                      <w:marBottom w:val="0"/>
                      <w:divBdr>
                        <w:top w:val="none" w:sz="0" w:space="0" w:color="auto"/>
                        <w:left w:val="none" w:sz="0" w:space="0" w:color="auto"/>
                        <w:bottom w:val="none" w:sz="0" w:space="0" w:color="auto"/>
                        <w:right w:val="none" w:sz="0" w:space="0" w:color="auto"/>
                      </w:divBdr>
                    </w:div>
                  </w:divsChild>
                </w:div>
                <w:div w:id="953100796">
                  <w:marLeft w:val="0"/>
                  <w:marRight w:val="0"/>
                  <w:marTop w:val="0"/>
                  <w:marBottom w:val="0"/>
                  <w:divBdr>
                    <w:top w:val="none" w:sz="0" w:space="0" w:color="auto"/>
                    <w:left w:val="none" w:sz="0" w:space="0" w:color="auto"/>
                    <w:bottom w:val="none" w:sz="0" w:space="0" w:color="auto"/>
                    <w:right w:val="none" w:sz="0" w:space="0" w:color="auto"/>
                  </w:divBdr>
                  <w:divsChild>
                    <w:div w:id="724372742">
                      <w:marLeft w:val="0"/>
                      <w:marRight w:val="0"/>
                      <w:marTop w:val="0"/>
                      <w:marBottom w:val="0"/>
                      <w:divBdr>
                        <w:top w:val="none" w:sz="0" w:space="0" w:color="auto"/>
                        <w:left w:val="none" w:sz="0" w:space="0" w:color="auto"/>
                        <w:bottom w:val="none" w:sz="0" w:space="0" w:color="auto"/>
                        <w:right w:val="none" w:sz="0" w:space="0" w:color="auto"/>
                      </w:divBdr>
                    </w:div>
                  </w:divsChild>
                </w:div>
                <w:div w:id="1689330021">
                  <w:marLeft w:val="0"/>
                  <w:marRight w:val="0"/>
                  <w:marTop w:val="0"/>
                  <w:marBottom w:val="0"/>
                  <w:divBdr>
                    <w:top w:val="none" w:sz="0" w:space="0" w:color="auto"/>
                    <w:left w:val="none" w:sz="0" w:space="0" w:color="auto"/>
                    <w:bottom w:val="none" w:sz="0" w:space="0" w:color="auto"/>
                    <w:right w:val="none" w:sz="0" w:space="0" w:color="auto"/>
                  </w:divBdr>
                  <w:divsChild>
                    <w:div w:id="597100527">
                      <w:marLeft w:val="0"/>
                      <w:marRight w:val="0"/>
                      <w:marTop w:val="0"/>
                      <w:marBottom w:val="0"/>
                      <w:divBdr>
                        <w:top w:val="none" w:sz="0" w:space="0" w:color="auto"/>
                        <w:left w:val="none" w:sz="0" w:space="0" w:color="auto"/>
                        <w:bottom w:val="none" w:sz="0" w:space="0" w:color="auto"/>
                        <w:right w:val="none" w:sz="0" w:space="0" w:color="auto"/>
                      </w:divBdr>
                    </w:div>
                  </w:divsChild>
                </w:div>
                <w:div w:id="1695301550">
                  <w:marLeft w:val="0"/>
                  <w:marRight w:val="0"/>
                  <w:marTop w:val="0"/>
                  <w:marBottom w:val="0"/>
                  <w:divBdr>
                    <w:top w:val="none" w:sz="0" w:space="0" w:color="auto"/>
                    <w:left w:val="none" w:sz="0" w:space="0" w:color="auto"/>
                    <w:bottom w:val="none" w:sz="0" w:space="0" w:color="auto"/>
                    <w:right w:val="none" w:sz="0" w:space="0" w:color="auto"/>
                  </w:divBdr>
                  <w:divsChild>
                    <w:div w:id="673142239">
                      <w:marLeft w:val="0"/>
                      <w:marRight w:val="0"/>
                      <w:marTop w:val="0"/>
                      <w:marBottom w:val="0"/>
                      <w:divBdr>
                        <w:top w:val="none" w:sz="0" w:space="0" w:color="auto"/>
                        <w:left w:val="none" w:sz="0" w:space="0" w:color="auto"/>
                        <w:bottom w:val="none" w:sz="0" w:space="0" w:color="auto"/>
                        <w:right w:val="none" w:sz="0" w:space="0" w:color="auto"/>
                      </w:divBdr>
                    </w:div>
                  </w:divsChild>
                </w:div>
                <w:div w:id="1832216539">
                  <w:marLeft w:val="0"/>
                  <w:marRight w:val="0"/>
                  <w:marTop w:val="0"/>
                  <w:marBottom w:val="0"/>
                  <w:divBdr>
                    <w:top w:val="none" w:sz="0" w:space="0" w:color="auto"/>
                    <w:left w:val="none" w:sz="0" w:space="0" w:color="auto"/>
                    <w:bottom w:val="none" w:sz="0" w:space="0" w:color="auto"/>
                    <w:right w:val="none" w:sz="0" w:space="0" w:color="auto"/>
                  </w:divBdr>
                  <w:divsChild>
                    <w:div w:id="766661027">
                      <w:marLeft w:val="0"/>
                      <w:marRight w:val="0"/>
                      <w:marTop w:val="0"/>
                      <w:marBottom w:val="0"/>
                      <w:divBdr>
                        <w:top w:val="none" w:sz="0" w:space="0" w:color="auto"/>
                        <w:left w:val="none" w:sz="0" w:space="0" w:color="auto"/>
                        <w:bottom w:val="none" w:sz="0" w:space="0" w:color="auto"/>
                        <w:right w:val="none" w:sz="0" w:space="0" w:color="auto"/>
                      </w:divBdr>
                    </w:div>
                  </w:divsChild>
                </w:div>
                <w:div w:id="1870607149">
                  <w:marLeft w:val="0"/>
                  <w:marRight w:val="0"/>
                  <w:marTop w:val="0"/>
                  <w:marBottom w:val="0"/>
                  <w:divBdr>
                    <w:top w:val="none" w:sz="0" w:space="0" w:color="auto"/>
                    <w:left w:val="none" w:sz="0" w:space="0" w:color="auto"/>
                    <w:bottom w:val="none" w:sz="0" w:space="0" w:color="auto"/>
                    <w:right w:val="none" w:sz="0" w:space="0" w:color="auto"/>
                  </w:divBdr>
                  <w:divsChild>
                    <w:div w:id="504977233">
                      <w:marLeft w:val="0"/>
                      <w:marRight w:val="0"/>
                      <w:marTop w:val="0"/>
                      <w:marBottom w:val="0"/>
                      <w:divBdr>
                        <w:top w:val="none" w:sz="0" w:space="0" w:color="auto"/>
                        <w:left w:val="none" w:sz="0" w:space="0" w:color="auto"/>
                        <w:bottom w:val="none" w:sz="0" w:space="0" w:color="auto"/>
                        <w:right w:val="none" w:sz="0" w:space="0" w:color="auto"/>
                      </w:divBdr>
                    </w:div>
                  </w:divsChild>
                </w:div>
                <w:div w:id="1907182136">
                  <w:marLeft w:val="0"/>
                  <w:marRight w:val="0"/>
                  <w:marTop w:val="0"/>
                  <w:marBottom w:val="0"/>
                  <w:divBdr>
                    <w:top w:val="none" w:sz="0" w:space="0" w:color="auto"/>
                    <w:left w:val="none" w:sz="0" w:space="0" w:color="auto"/>
                    <w:bottom w:val="none" w:sz="0" w:space="0" w:color="auto"/>
                    <w:right w:val="none" w:sz="0" w:space="0" w:color="auto"/>
                  </w:divBdr>
                  <w:divsChild>
                    <w:div w:id="900864909">
                      <w:marLeft w:val="0"/>
                      <w:marRight w:val="0"/>
                      <w:marTop w:val="0"/>
                      <w:marBottom w:val="0"/>
                      <w:divBdr>
                        <w:top w:val="none" w:sz="0" w:space="0" w:color="auto"/>
                        <w:left w:val="none" w:sz="0" w:space="0" w:color="auto"/>
                        <w:bottom w:val="none" w:sz="0" w:space="0" w:color="auto"/>
                        <w:right w:val="none" w:sz="0" w:space="0" w:color="auto"/>
                      </w:divBdr>
                    </w:div>
                  </w:divsChild>
                </w:div>
                <w:div w:id="2004234215">
                  <w:marLeft w:val="0"/>
                  <w:marRight w:val="0"/>
                  <w:marTop w:val="0"/>
                  <w:marBottom w:val="0"/>
                  <w:divBdr>
                    <w:top w:val="none" w:sz="0" w:space="0" w:color="auto"/>
                    <w:left w:val="none" w:sz="0" w:space="0" w:color="auto"/>
                    <w:bottom w:val="none" w:sz="0" w:space="0" w:color="auto"/>
                    <w:right w:val="none" w:sz="0" w:space="0" w:color="auto"/>
                  </w:divBdr>
                  <w:divsChild>
                    <w:div w:id="173770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980563">
          <w:marLeft w:val="0"/>
          <w:marRight w:val="0"/>
          <w:marTop w:val="0"/>
          <w:marBottom w:val="0"/>
          <w:divBdr>
            <w:top w:val="none" w:sz="0" w:space="0" w:color="auto"/>
            <w:left w:val="none" w:sz="0" w:space="0" w:color="auto"/>
            <w:bottom w:val="none" w:sz="0" w:space="0" w:color="auto"/>
            <w:right w:val="none" w:sz="0" w:space="0" w:color="auto"/>
          </w:divBdr>
        </w:div>
        <w:div w:id="1975863011">
          <w:marLeft w:val="0"/>
          <w:marRight w:val="0"/>
          <w:marTop w:val="0"/>
          <w:marBottom w:val="0"/>
          <w:divBdr>
            <w:top w:val="none" w:sz="0" w:space="0" w:color="auto"/>
            <w:left w:val="none" w:sz="0" w:space="0" w:color="auto"/>
            <w:bottom w:val="none" w:sz="0" w:space="0" w:color="auto"/>
            <w:right w:val="none" w:sz="0" w:space="0" w:color="auto"/>
          </w:divBdr>
        </w:div>
      </w:divsChild>
    </w:div>
    <w:div w:id="1965697818">
      <w:bodyDiv w:val="1"/>
      <w:marLeft w:val="0"/>
      <w:marRight w:val="0"/>
      <w:marTop w:val="0"/>
      <w:marBottom w:val="0"/>
      <w:divBdr>
        <w:top w:val="none" w:sz="0" w:space="0" w:color="auto"/>
        <w:left w:val="none" w:sz="0" w:space="0" w:color="auto"/>
        <w:bottom w:val="none" w:sz="0" w:space="0" w:color="auto"/>
        <w:right w:val="none" w:sz="0" w:space="0" w:color="auto"/>
      </w:divBdr>
    </w:div>
    <w:div w:id="1983342051">
      <w:bodyDiv w:val="1"/>
      <w:marLeft w:val="0"/>
      <w:marRight w:val="0"/>
      <w:marTop w:val="0"/>
      <w:marBottom w:val="0"/>
      <w:divBdr>
        <w:top w:val="none" w:sz="0" w:space="0" w:color="auto"/>
        <w:left w:val="none" w:sz="0" w:space="0" w:color="auto"/>
        <w:bottom w:val="none" w:sz="0" w:space="0" w:color="auto"/>
        <w:right w:val="none" w:sz="0" w:space="0" w:color="auto"/>
      </w:divBdr>
    </w:div>
    <w:div w:id="2042364982">
      <w:bodyDiv w:val="1"/>
      <w:marLeft w:val="0"/>
      <w:marRight w:val="0"/>
      <w:marTop w:val="0"/>
      <w:marBottom w:val="0"/>
      <w:divBdr>
        <w:top w:val="none" w:sz="0" w:space="0" w:color="auto"/>
        <w:left w:val="none" w:sz="0" w:space="0" w:color="auto"/>
        <w:bottom w:val="none" w:sz="0" w:space="0" w:color="auto"/>
        <w:right w:val="none" w:sz="0" w:space="0" w:color="auto"/>
      </w:divBdr>
      <w:divsChild>
        <w:div w:id="959578415">
          <w:marLeft w:val="0"/>
          <w:marRight w:val="0"/>
          <w:marTop w:val="0"/>
          <w:marBottom w:val="0"/>
          <w:divBdr>
            <w:top w:val="none" w:sz="0" w:space="0" w:color="auto"/>
            <w:left w:val="none" w:sz="0" w:space="0" w:color="auto"/>
            <w:bottom w:val="none" w:sz="0" w:space="0" w:color="auto"/>
            <w:right w:val="none" w:sz="0" w:space="0" w:color="auto"/>
          </w:divBdr>
        </w:div>
        <w:div w:id="1825508002">
          <w:marLeft w:val="0"/>
          <w:marRight w:val="0"/>
          <w:marTop w:val="0"/>
          <w:marBottom w:val="0"/>
          <w:divBdr>
            <w:top w:val="none" w:sz="0" w:space="0" w:color="auto"/>
            <w:left w:val="none" w:sz="0" w:space="0" w:color="auto"/>
            <w:bottom w:val="none" w:sz="0" w:space="0" w:color="auto"/>
            <w:right w:val="none" w:sz="0" w:space="0" w:color="auto"/>
          </w:divBdr>
        </w:div>
        <w:div w:id="1998801321">
          <w:marLeft w:val="0"/>
          <w:marRight w:val="0"/>
          <w:marTop w:val="0"/>
          <w:marBottom w:val="0"/>
          <w:divBdr>
            <w:top w:val="none" w:sz="0" w:space="0" w:color="auto"/>
            <w:left w:val="none" w:sz="0" w:space="0" w:color="auto"/>
            <w:bottom w:val="none" w:sz="0" w:space="0" w:color="auto"/>
            <w:right w:val="none" w:sz="0" w:space="0" w:color="auto"/>
          </w:divBdr>
        </w:div>
        <w:div w:id="2110154200">
          <w:marLeft w:val="0"/>
          <w:marRight w:val="0"/>
          <w:marTop w:val="0"/>
          <w:marBottom w:val="0"/>
          <w:divBdr>
            <w:top w:val="none" w:sz="0" w:space="0" w:color="auto"/>
            <w:left w:val="none" w:sz="0" w:space="0" w:color="auto"/>
            <w:bottom w:val="none" w:sz="0" w:space="0" w:color="auto"/>
            <w:right w:val="none" w:sz="0" w:space="0" w:color="auto"/>
          </w:divBdr>
          <w:divsChild>
            <w:div w:id="141581759">
              <w:marLeft w:val="-75"/>
              <w:marRight w:val="0"/>
              <w:marTop w:val="30"/>
              <w:marBottom w:val="30"/>
              <w:divBdr>
                <w:top w:val="none" w:sz="0" w:space="0" w:color="auto"/>
                <w:left w:val="none" w:sz="0" w:space="0" w:color="auto"/>
                <w:bottom w:val="none" w:sz="0" w:space="0" w:color="auto"/>
                <w:right w:val="none" w:sz="0" w:space="0" w:color="auto"/>
              </w:divBdr>
              <w:divsChild>
                <w:div w:id="275254518">
                  <w:marLeft w:val="0"/>
                  <w:marRight w:val="0"/>
                  <w:marTop w:val="0"/>
                  <w:marBottom w:val="0"/>
                  <w:divBdr>
                    <w:top w:val="none" w:sz="0" w:space="0" w:color="auto"/>
                    <w:left w:val="none" w:sz="0" w:space="0" w:color="auto"/>
                    <w:bottom w:val="none" w:sz="0" w:space="0" w:color="auto"/>
                    <w:right w:val="none" w:sz="0" w:space="0" w:color="auto"/>
                  </w:divBdr>
                  <w:divsChild>
                    <w:div w:id="1144347154">
                      <w:marLeft w:val="0"/>
                      <w:marRight w:val="0"/>
                      <w:marTop w:val="0"/>
                      <w:marBottom w:val="0"/>
                      <w:divBdr>
                        <w:top w:val="none" w:sz="0" w:space="0" w:color="auto"/>
                        <w:left w:val="none" w:sz="0" w:space="0" w:color="auto"/>
                        <w:bottom w:val="none" w:sz="0" w:space="0" w:color="auto"/>
                        <w:right w:val="none" w:sz="0" w:space="0" w:color="auto"/>
                      </w:divBdr>
                    </w:div>
                  </w:divsChild>
                </w:div>
                <w:div w:id="298803862">
                  <w:marLeft w:val="0"/>
                  <w:marRight w:val="0"/>
                  <w:marTop w:val="0"/>
                  <w:marBottom w:val="0"/>
                  <w:divBdr>
                    <w:top w:val="none" w:sz="0" w:space="0" w:color="auto"/>
                    <w:left w:val="none" w:sz="0" w:space="0" w:color="auto"/>
                    <w:bottom w:val="none" w:sz="0" w:space="0" w:color="auto"/>
                    <w:right w:val="none" w:sz="0" w:space="0" w:color="auto"/>
                  </w:divBdr>
                  <w:divsChild>
                    <w:div w:id="1978607112">
                      <w:marLeft w:val="0"/>
                      <w:marRight w:val="0"/>
                      <w:marTop w:val="0"/>
                      <w:marBottom w:val="0"/>
                      <w:divBdr>
                        <w:top w:val="none" w:sz="0" w:space="0" w:color="auto"/>
                        <w:left w:val="none" w:sz="0" w:space="0" w:color="auto"/>
                        <w:bottom w:val="none" w:sz="0" w:space="0" w:color="auto"/>
                        <w:right w:val="none" w:sz="0" w:space="0" w:color="auto"/>
                      </w:divBdr>
                    </w:div>
                  </w:divsChild>
                </w:div>
                <w:div w:id="658578860">
                  <w:marLeft w:val="0"/>
                  <w:marRight w:val="0"/>
                  <w:marTop w:val="0"/>
                  <w:marBottom w:val="0"/>
                  <w:divBdr>
                    <w:top w:val="none" w:sz="0" w:space="0" w:color="auto"/>
                    <w:left w:val="none" w:sz="0" w:space="0" w:color="auto"/>
                    <w:bottom w:val="none" w:sz="0" w:space="0" w:color="auto"/>
                    <w:right w:val="none" w:sz="0" w:space="0" w:color="auto"/>
                  </w:divBdr>
                  <w:divsChild>
                    <w:div w:id="456416260">
                      <w:marLeft w:val="0"/>
                      <w:marRight w:val="0"/>
                      <w:marTop w:val="0"/>
                      <w:marBottom w:val="0"/>
                      <w:divBdr>
                        <w:top w:val="none" w:sz="0" w:space="0" w:color="auto"/>
                        <w:left w:val="none" w:sz="0" w:space="0" w:color="auto"/>
                        <w:bottom w:val="none" w:sz="0" w:space="0" w:color="auto"/>
                        <w:right w:val="none" w:sz="0" w:space="0" w:color="auto"/>
                      </w:divBdr>
                    </w:div>
                  </w:divsChild>
                </w:div>
                <w:div w:id="777601493">
                  <w:marLeft w:val="0"/>
                  <w:marRight w:val="0"/>
                  <w:marTop w:val="0"/>
                  <w:marBottom w:val="0"/>
                  <w:divBdr>
                    <w:top w:val="none" w:sz="0" w:space="0" w:color="auto"/>
                    <w:left w:val="none" w:sz="0" w:space="0" w:color="auto"/>
                    <w:bottom w:val="none" w:sz="0" w:space="0" w:color="auto"/>
                    <w:right w:val="none" w:sz="0" w:space="0" w:color="auto"/>
                  </w:divBdr>
                  <w:divsChild>
                    <w:div w:id="1364013831">
                      <w:marLeft w:val="0"/>
                      <w:marRight w:val="0"/>
                      <w:marTop w:val="0"/>
                      <w:marBottom w:val="0"/>
                      <w:divBdr>
                        <w:top w:val="none" w:sz="0" w:space="0" w:color="auto"/>
                        <w:left w:val="none" w:sz="0" w:space="0" w:color="auto"/>
                        <w:bottom w:val="none" w:sz="0" w:space="0" w:color="auto"/>
                        <w:right w:val="none" w:sz="0" w:space="0" w:color="auto"/>
                      </w:divBdr>
                    </w:div>
                  </w:divsChild>
                </w:div>
                <w:div w:id="997683692">
                  <w:marLeft w:val="0"/>
                  <w:marRight w:val="0"/>
                  <w:marTop w:val="0"/>
                  <w:marBottom w:val="0"/>
                  <w:divBdr>
                    <w:top w:val="none" w:sz="0" w:space="0" w:color="auto"/>
                    <w:left w:val="none" w:sz="0" w:space="0" w:color="auto"/>
                    <w:bottom w:val="none" w:sz="0" w:space="0" w:color="auto"/>
                    <w:right w:val="none" w:sz="0" w:space="0" w:color="auto"/>
                  </w:divBdr>
                  <w:divsChild>
                    <w:div w:id="1356618219">
                      <w:marLeft w:val="0"/>
                      <w:marRight w:val="0"/>
                      <w:marTop w:val="0"/>
                      <w:marBottom w:val="0"/>
                      <w:divBdr>
                        <w:top w:val="none" w:sz="0" w:space="0" w:color="auto"/>
                        <w:left w:val="none" w:sz="0" w:space="0" w:color="auto"/>
                        <w:bottom w:val="none" w:sz="0" w:space="0" w:color="auto"/>
                        <w:right w:val="none" w:sz="0" w:space="0" w:color="auto"/>
                      </w:divBdr>
                    </w:div>
                  </w:divsChild>
                </w:div>
                <w:div w:id="1443451502">
                  <w:marLeft w:val="0"/>
                  <w:marRight w:val="0"/>
                  <w:marTop w:val="0"/>
                  <w:marBottom w:val="0"/>
                  <w:divBdr>
                    <w:top w:val="none" w:sz="0" w:space="0" w:color="auto"/>
                    <w:left w:val="none" w:sz="0" w:space="0" w:color="auto"/>
                    <w:bottom w:val="none" w:sz="0" w:space="0" w:color="auto"/>
                    <w:right w:val="none" w:sz="0" w:space="0" w:color="auto"/>
                  </w:divBdr>
                  <w:divsChild>
                    <w:div w:id="1105736783">
                      <w:marLeft w:val="0"/>
                      <w:marRight w:val="0"/>
                      <w:marTop w:val="0"/>
                      <w:marBottom w:val="0"/>
                      <w:divBdr>
                        <w:top w:val="none" w:sz="0" w:space="0" w:color="auto"/>
                        <w:left w:val="none" w:sz="0" w:space="0" w:color="auto"/>
                        <w:bottom w:val="none" w:sz="0" w:space="0" w:color="auto"/>
                        <w:right w:val="none" w:sz="0" w:space="0" w:color="auto"/>
                      </w:divBdr>
                    </w:div>
                  </w:divsChild>
                </w:div>
                <w:div w:id="1526165800">
                  <w:marLeft w:val="0"/>
                  <w:marRight w:val="0"/>
                  <w:marTop w:val="0"/>
                  <w:marBottom w:val="0"/>
                  <w:divBdr>
                    <w:top w:val="none" w:sz="0" w:space="0" w:color="auto"/>
                    <w:left w:val="none" w:sz="0" w:space="0" w:color="auto"/>
                    <w:bottom w:val="none" w:sz="0" w:space="0" w:color="auto"/>
                    <w:right w:val="none" w:sz="0" w:space="0" w:color="auto"/>
                  </w:divBdr>
                  <w:divsChild>
                    <w:div w:id="1818105736">
                      <w:marLeft w:val="0"/>
                      <w:marRight w:val="0"/>
                      <w:marTop w:val="0"/>
                      <w:marBottom w:val="0"/>
                      <w:divBdr>
                        <w:top w:val="none" w:sz="0" w:space="0" w:color="auto"/>
                        <w:left w:val="none" w:sz="0" w:space="0" w:color="auto"/>
                        <w:bottom w:val="none" w:sz="0" w:space="0" w:color="auto"/>
                        <w:right w:val="none" w:sz="0" w:space="0" w:color="auto"/>
                      </w:divBdr>
                    </w:div>
                  </w:divsChild>
                </w:div>
                <w:div w:id="1577011316">
                  <w:marLeft w:val="0"/>
                  <w:marRight w:val="0"/>
                  <w:marTop w:val="0"/>
                  <w:marBottom w:val="0"/>
                  <w:divBdr>
                    <w:top w:val="none" w:sz="0" w:space="0" w:color="auto"/>
                    <w:left w:val="none" w:sz="0" w:space="0" w:color="auto"/>
                    <w:bottom w:val="none" w:sz="0" w:space="0" w:color="auto"/>
                    <w:right w:val="none" w:sz="0" w:space="0" w:color="auto"/>
                  </w:divBdr>
                  <w:divsChild>
                    <w:div w:id="381638187">
                      <w:marLeft w:val="0"/>
                      <w:marRight w:val="0"/>
                      <w:marTop w:val="0"/>
                      <w:marBottom w:val="0"/>
                      <w:divBdr>
                        <w:top w:val="none" w:sz="0" w:space="0" w:color="auto"/>
                        <w:left w:val="none" w:sz="0" w:space="0" w:color="auto"/>
                        <w:bottom w:val="none" w:sz="0" w:space="0" w:color="auto"/>
                        <w:right w:val="none" w:sz="0" w:space="0" w:color="auto"/>
                      </w:divBdr>
                    </w:div>
                  </w:divsChild>
                </w:div>
                <w:div w:id="2044598270">
                  <w:marLeft w:val="0"/>
                  <w:marRight w:val="0"/>
                  <w:marTop w:val="0"/>
                  <w:marBottom w:val="0"/>
                  <w:divBdr>
                    <w:top w:val="none" w:sz="0" w:space="0" w:color="auto"/>
                    <w:left w:val="none" w:sz="0" w:space="0" w:color="auto"/>
                    <w:bottom w:val="none" w:sz="0" w:space="0" w:color="auto"/>
                    <w:right w:val="none" w:sz="0" w:space="0" w:color="auto"/>
                  </w:divBdr>
                  <w:divsChild>
                    <w:div w:id="417992788">
                      <w:marLeft w:val="0"/>
                      <w:marRight w:val="0"/>
                      <w:marTop w:val="0"/>
                      <w:marBottom w:val="0"/>
                      <w:divBdr>
                        <w:top w:val="none" w:sz="0" w:space="0" w:color="auto"/>
                        <w:left w:val="none" w:sz="0" w:space="0" w:color="auto"/>
                        <w:bottom w:val="none" w:sz="0" w:space="0" w:color="auto"/>
                        <w:right w:val="none" w:sz="0" w:space="0" w:color="auto"/>
                      </w:divBdr>
                    </w:div>
                  </w:divsChild>
                </w:div>
                <w:div w:id="2121296689">
                  <w:marLeft w:val="0"/>
                  <w:marRight w:val="0"/>
                  <w:marTop w:val="0"/>
                  <w:marBottom w:val="0"/>
                  <w:divBdr>
                    <w:top w:val="none" w:sz="0" w:space="0" w:color="auto"/>
                    <w:left w:val="none" w:sz="0" w:space="0" w:color="auto"/>
                    <w:bottom w:val="none" w:sz="0" w:space="0" w:color="auto"/>
                    <w:right w:val="none" w:sz="0" w:space="0" w:color="auto"/>
                  </w:divBdr>
                  <w:divsChild>
                    <w:div w:id="188609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17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2127B863-9F62-4741-913D-5B7BFD5187CE}"/>
</file>

<file path=customXml/itemProps2.xml><?xml version="1.0" encoding="utf-8"?>
<ds:datastoreItem xmlns:ds="http://schemas.openxmlformats.org/officeDocument/2006/customXml" ds:itemID="{08D3F1AB-5FF6-4127-B44D-8D5535F844F6}"/>
</file>

<file path=customXml/itemProps3.xml><?xml version="1.0" encoding="utf-8"?>
<ds:datastoreItem xmlns:ds="http://schemas.openxmlformats.org/officeDocument/2006/customXml" ds:itemID="{00264EDA-9F42-4202-9D61-2233A0AC7AE7}"/>
</file>

<file path=docProps/app.xml><?xml version="1.0" encoding="utf-8"?>
<Properties xmlns="http://schemas.openxmlformats.org/officeDocument/2006/extended-properties" xmlns:vt="http://schemas.openxmlformats.org/officeDocument/2006/docPropsVTypes">
  <Template>Normal.dotm</Template>
  <TotalTime>0</TotalTime>
  <Pages>1</Pages>
  <Words>2271</Words>
  <Characters>12951</Characters>
  <Application>Microsoft Office Word</Application>
  <DocSecurity>4</DocSecurity>
  <Lines>107</Lines>
  <Paragraphs>30</Paragraphs>
  <ScaleCrop>false</ScaleCrop>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MARIA CAMILA RICAURTE SANABRIA</cp:lastModifiedBy>
  <cp:revision>127</cp:revision>
  <cp:lastPrinted>2025-03-17T18:01:00Z</cp:lastPrinted>
  <dcterms:created xsi:type="dcterms:W3CDTF">2025-03-17T16:24:00Z</dcterms:created>
  <dcterms:modified xsi:type="dcterms:W3CDTF">2025-03-19T02:41:00Z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